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70A4" w14:textId="77777777" w:rsidR="00860921" w:rsidRPr="00860921" w:rsidRDefault="00860921" w:rsidP="00860921">
      <w:pPr>
        <w:shd w:val="clear" w:color="auto" w:fill="D9D9D9" w:themeFill="background1" w:themeFillShade="D9"/>
        <w:rPr>
          <w:rFonts w:cs="Arial"/>
          <w:sz w:val="28"/>
          <w:szCs w:val="28"/>
        </w:rPr>
      </w:pPr>
      <w:bookmarkStart w:id="0" w:name="_Toc87523783"/>
      <w:bookmarkStart w:id="1" w:name="_Toc97543216"/>
      <w:bookmarkStart w:id="2" w:name="_Toc150499177"/>
      <w:r w:rsidRPr="00860921">
        <w:rPr>
          <w:rFonts w:cs="Arial"/>
          <w:sz w:val="28"/>
          <w:szCs w:val="28"/>
        </w:rPr>
        <w:t>2.3 Rischi corruttivi e trasparenza</w:t>
      </w:r>
    </w:p>
    <w:p w14:paraId="3E63882B" w14:textId="77777777" w:rsidR="00860921" w:rsidRDefault="00860921" w:rsidP="00860921"/>
    <w:p w14:paraId="4A4D676F" w14:textId="5D87D0D6" w:rsidR="00BC529E" w:rsidRPr="00860921" w:rsidRDefault="00BE1532" w:rsidP="00860921">
      <w:pPr>
        <w:pStyle w:val="Titolo1"/>
      </w:pPr>
      <w:r w:rsidRPr="00860921">
        <w:t xml:space="preserve">Parte </w:t>
      </w:r>
      <w:r w:rsidR="000F055E" w:rsidRPr="00860921">
        <w:t>general</w:t>
      </w:r>
      <w:r w:rsidRPr="00860921">
        <w:t>e</w:t>
      </w:r>
      <w:bookmarkEnd w:id="0"/>
      <w:bookmarkEnd w:id="1"/>
      <w:bookmarkEnd w:id="2"/>
    </w:p>
    <w:p w14:paraId="38FE1EBB" w14:textId="77777777" w:rsidR="00860921" w:rsidRDefault="00860921" w:rsidP="00860921">
      <w:bookmarkStart w:id="3" w:name="_Toc97543217"/>
      <w:bookmarkStart w:id="4" w:name="_Toc150499178"/>
    </w:p>
    <w:p w14:paraId="1685EF42" w14:textId="46C61AC7" w:rsidR="003237FC" w:rsidRPr="00860921" w:rsidRDefault="00AA1D02" w:rsidP="00860921">
      <w:pPr>
        <w:pStyle w:val="Titolo3"/>
      </w:pPr>
      <w:r w:rsidRPr="00860921">
        <w:t>I soggetti coinvolti nel sistema di prevenzione e nella gestione del rischio</w:t>
      </w:r>
      <w:bookmarkEnd w:id="3"/>
      <w:bookmarkEnd w:id="4"/>
      <w:r w:rsidRPr="00860921">
        <w:t xml:space="preserve"> </w:t>
      </w:r>
      <w:r w:rsidR="003237FC" w:rsidRPr="00860921">
        <w:t xml:space="preserve"> </w:t>
      </w:r>
    </w:p>
    <w:p w14:paraId="492A9EB2" w14:textId="77777777" w:rsidR="00860921" w:rsidRDefault="00860921" w:rsidP="00860921">
      <w:bookmarkStart w:id="5" w:name="_Toc97543218"/>
      <w:bookmarkStart w:id="6" w:name="_Toc150499179"/>
    </w:p>
    <w:p w14:paraId="29FEED88" w14:textId="07EDCEFE" w:rsidR="00AA1D02" w:rsidRPr="00860921" w:rsidRDefault="00AA1D02" w:rsidP="00860921">
      <w:pPr>
        <w:pStyle w:val="Titolo4"/>
      </w:pPr>
      <w:r w:rsidRPr="00860921">
        <w:t>L’Autorità nazionale anticorruzione</w:t>
      </w:r>
      <w:bookmarkEnd w:id="5"/>
      <w:bookmarkEnd w:id="6"/>
    </w:p>
    <w:p w14:paraId="20315169" w14:textId="77777777" w:rsidR="00860921" w:rsidRDefault="00860921" w:rsidP="00860921">
      <w:pPr>
        <w:rPr>
          <w:rFonts w:cs="Arial"/>
          <w:bCs/>
          <w:sz w:val="24"/>
          <w:szCs w:val="24"/>
        </w:rPr>
      </w:pPr>
    </w:p>
    <w:p w14:paraId="30ABBB0B" w14:textId="0316E3E4" w:rsidR="003237FC" w:rsidRPr="00860921" w:rsidRDefault="003237FC" w:rsidP="00860921">
      <w:r w:rsidRPr="00860921">
        <w:t xml:space="preserve">La strategia nazionale </w:t>
      </w:r>
      <w:r w:rsidR="00C227A8" w:rsidRPr="00860921">
        <w:t xml:space="preserve">di prevenzione della corruzione, secondo la legge 190/2012 e </w:t>
      </w:r>
      <w:proofErr w:type="spellStart"/>
      <w:r w:rsidR="00C227A8" w:rsidRPr="00860921">
        <w:t>smi</w:t>
      </w:r>
      <w:proofErr w:type="spellEnd"/>
      <w:r w:rsidR="00C227A8" w:rsidRPr="00860921">
        <w:t xml:space="preserve">, </w:t>
      </w:r>
      <w:r w:rsidRPr="00860921">
        <w:t xml:space="preserve">si </w:t>
      </w:r>
      <w:r w:rsidR="001C6327" w:rsidRPr="00860921">
        <w:t>attua</w:t>
      </w:r>
      <w:r w:rsidRPr="00860921">
        <w:t xml:space="preserve"> mediante il Piano nazionale anticorruzione (PNA) adottato dall’Autorità Nazionale Anticorruzione (ANAC). </w:t>
      </w:r>
    </w:p>
    <w:p w14:paraId="47336552" w14:textId="087A6FBD" w:rsidR="003237FC" w:rsidRPr="00860921" w:rsidRDefault="0079629A" w:rsidP="00860921">
      <w:r w:rsidRPr="00860921">
        <w:t>I</w:t>
      </w:r>
      <w:r w:rsidR="003237FC" w:rsidRPr="00860921">
        <w:t>l PNA individua i principali rischi di corruzione</w:t>
      </w:r>
      <w:r w:rsidRPr="00860921">
        <w:t xml:space="preserve">, </w:t>
      </w:r>
      <w:r w:rsidR="003237FC" w:rsidRPr="00860921">
        <w:t xml:space="preserve">i relativi rimedi e contiene l’indicazione degli obiettivi, dei tempi e delle modalità di adozione e attuazione delle misure di contrasto al fenomeno corruttivo. </w:t>
      </w:r>
    </w:p>
    <w:p w14:paraId="085C95D1" w14:textId="77777777" w:rsidR="00AB096F" w:rsidRPr="00860921" w:rsidRDefault="00AB096F" w:rsidP="00860921">
      <w:pPr>
        <w:rPr>
          <w:rFonts w:cs="Arial"/>
          <w:b/>
          <w:bCs/>
          <w:sz w:val="24"/>
          <w:szCs w:val="24"/>
        </w:rPr>
      </w:pPr>
    </w:p>
    <w:p w14:paraId="62EC390F" w14:textId="77777777" w:rsidR="00F46D21" w:rsidRPr="00860921" w:rsidRDefault="00F46D21" w:rsidP="00A376A0">
      <w:pPr>
        <w:pStyle w:val="Titolo4"/>
      </w:pPr>
      <w:bookmarkStart w:id="7" w:name="_Toc87523787"/>
      <w:bookmarkStart w:id="8" w:name="_Toc97543219"/>
      <w:bookmarkStart w:id="9" w:name="_Toc150499180"/>
      <w:r w:rsidRPr="00860921">
        <w:t>Il responsabile per la prevenzione della corruzione e per la trasparenza (RPCT)</w:t>
      </w:r>
      <w:bookmarkEnd w:id="7"/>
      <w:bookmarkEnd w:id="8"/>
      <w:bookmarkEnd w:id="9"/>
    </w:p>
    <w:p w14:paraId="52899F16" w14:textId="55B56B80" w:rsidR="00CC1319" w:rsidRPr="00860921" w:rsidRDefault="00CC1319" w:rsidP="00A376A0">
      <w:r w:rsidRPr="00860921">
        <w:t>La</w:t>
      </w:r>
      <w:r w:rsidR="009402BB" w:rsidRPr="00860921">
        <w:t xml:space="preserve"> legge 190/2012</w:t>
      </w:r>
      <w:r w:rsidRPr="00860921">
        <w:t xml:space="preserve"> (art. 1 comma 7)</w:t>
      </w:r>
      <w:r w:rsidR="009402BB" w:rsidRPr="00860921">
        <w:t xml:space="preserve"> prevede che l’organo di indirizzo individu</w:t>
      </w:r>
      <w:r w:rsidR="00C227A8" w:rsidRPr="00860921">
        <w:t xml:space="preserve">i </w:t>
      </w:r>
      <w:r w:rsidR="009402BB" w:rsidRPr="00860921">
        <w:t xml:space="preserve">il </w:t>
      </w:r>
      <w:r w:rsidRPr="00860921">
        <w:t>R</w:t>
      </w:r>
      <w:r w:rsidR="009402BB" w:rsidRPr="00860921">
        <w:t xml:space="preserve">esponsabile per la prevenzione della corruzione e della trasparenza (RPCT). </w:t>
      </w:r>
    </w:p>
    <w:p w14:paraId="1B55CEE4" w14:textId="1CB4B208" w:rsidR="00F46D21" w:rsidRPr="00A376A0" w:rsidRDefault="00F46D21" w:rsidP="0080053D">
      <w:r w:rsidRPr="00860921">
        <w:t>Il Responsabile della prevenzione della corruzione e per la trasparenza</w:t>
      </w:r>
      <w:r w:rsidR="007929DC" w:rsidRPr="00860921">
        <w:t xml:space="preserve"> (RPCT)</w:t>
      </w:r>
      <w:r w:rsidRPr="00860921">
        <w:t xml:space="preserve"> di questo ente è </w:t>
      </w:r>
      <w:r w:rsidR="0080053D">
        <w:t>la Dott.ssa Sonia Pagani</w:t>
      </w:r>
      <w:r w:rsidRPr="00860921">
        <w:t xml:space="preserve"> designat</w:t>
      </w:r>
      <w:r w:rsidR="0080053D">
        <w:t>a</w:t>
      </w:r>
      <w:r w:rsidRPr="00860921">
        <w:t xml:space="preserve"> con decreto </w:t>
      </w:r>
      <w:r w:rsidR="00BB22A9" w:rsidRPr="00860921">
        <w:t>n.</w:t>
      </w:r>
      <w:r w:rsidRPr="00860921">
        <w:t xml:space="preserve"> </w:t>
      </w:r>
      <w:r w:rsidR="00A42C41">
        <w:t>10/</w:t>
      </w:r>
      <w:r w:rsidR="0080053D">
        <w:t>202</w:t>
      </w:r>
      <w:r w:rsidR="009A3666">
        <w:t>4</w:t>
      </w:r>
      <w:r w:rsidR="0080053D">
        <w:t>.</w:t>
      </w:r>
      <w:r w:rsidRPr="00A376A0">
        <w:t xml:space="preserve"> </w:t>
      </w:r>
    </w:p>
    <w:p w14:paraId="1BEEAB36" w14:textId="138CC6DD" w:rsidR="00B939A2" w:rsidRPr="00A376A0" w:rsidRDefault="00C227A8" w:rsidP="00A376A0">
      <w:r w:rsidRPr="00A376A0">
        <w:t>L</w:t>
      </w:r>
      <w:r w:rsidR="00B16AA4" w:rsidRPr="00A376A0">
        <w:t>’art</w:t>
      </w:r>
      <w:r w:rsidR="00060246" w:rsidRPr="00A376A0">
        <w:t>.</w:t>
      </w:r>
      <w:r w:rsidR="00B16AA4" w:rsidRPr="00A376A0">
        <w:t xml:space="preserve"> 8 del DPR 62/2013 impone un dovere di collaborazione dei dipendenti nei confronti del responsabile anticorruzione, la cui violazione è sanzionabile disciplinarmente. </w:t>
      </w:r>
      <w:r w:rsidR="00B939A2" w:rsidRPr="00A376A0">
        <w:t xml:space="preserve">Pertanto, tutti i dirigenti, i funzionari, il personale dipendente ed i collaboratori sono tenuti a </w:t>
      </w:r>
      <w:r w:rsidR="0095538F" w:rsidRPr="00A376A0">
        <w:t>fornire</w:t>
      </w:r>
      <w:r w:rsidR="00B939A2" w:rsidRPr="00A376A0">
        <w:t xml:space="preserve"> al RPCT la necessaria collaborazione. </w:t>
      </w:r>
    </w:p>
    <w:p w14:paraId="0D09D854" w14:textId="58221DA6" w:rsidR="00B939A2" w:rsidRPr="00860921" w:rsidRDefault="00445620" w:rsidP="00A376A0">
      <w:r w:rsidRPr="00860921">
        <w:t>Il RPCT</w:t>
      </w:r>
      <w:r w:rsidR="00C227A8" w:rsidRPr="00860921">
        <w:t xml:space="preserve"> </w:t>
      </w:r>
      <w:r w:rsidR="00B939A2" w:rsidRPr="00860921">
        <w:t>svolge i compiti</w:t>
      </w:r>
      <w:r w:rsidR="001F6114" w:rsidRPr="00860921">
        <w:t xml:space="preserve"> </w:t>
      </w:r>
      <w:r w:rsidR="00B939A2" w:rsidRPr="00860921">
        <w:t xml:space="preserve">seguenti: </w:t>
      </w:r>
    </w:p>
    <w:p w14:paraId="4DBCD745" w14:textId="77777777" w:rsidR="00B939A2" w:rsidRPr="00860921" w:rsidRDefault="00B939A2" w:rsidP="00A376A0">
      <w:pPr>
        <w:pStyle w:val="Paragrafoelenco"/>
        <w:numPr>
          <w:ilvl w:val="0"/>
          <w:numId w:val="35"/>
        </w:numPr>
      </w:pPr>
      <w:r w:rsidRPr="00860921">
        <w:t xml:space="preserve">elabora e propone all’organo di indirizzo politico, per l’approvazione, il Piano triennale di prevenzione della corruzione (articolo 1 comma 8 legge 190/2012); </w:t>
      </w:r>
    </w:p>
    <w:p w14:paraId="609B5A37" w14:textId="77777777" w:rsidR="00B939A2" w:rsidRPr="00860921" w:rsidRDefault="00B939A2" w:rsidP="00A376A0">
      <w:pPr>
        <w:pStyle w:val="Paragrafoelenco"/>
        <w:numPr>
          <w:ilvl w:val="0"/>
          <w:numId w:val="35"/>
        </w:numPr>
      </w:pPr>
      <w:r w:rsidRPr="00860921">
        <w:t xml:space="preserve">verifica l'efficace attuazione e l’idoneità del piano anticorruzione (articolo 1 comma 10 lettera a) legge 190/2012); </w:t>
      </w:r>
    </w:p>
    <w:p w14:paraId="42E0DC41" w14:textId="77777777" w:rsidR="00B939A2" w:rsidRPr="00860921" w:rsidRDefault="00B939A2" w:rsidP="00A376A0">
      <w:pPr>
        <w:pStyle w:val="Paragrafoelenco"/>
        <w:numPr>
          <w:ilvl w:val="0"/>
          <w:numId w:val="35"/>
        </w:numPr>
      </w:pPr>
      <w:r w:rsidRPr="00860921">
        <w:t xml:space="preserve">comunica agli uffici le misure anticorruzione e per la trasparenza adottate (attraverso il PTPCT) e le relative modalità applicative e vigila sull'osservanza del piano (articolo 1 comma 14 legge 190/2012); </w:t>
      </w:r>
    </w:p>
    <w:p w14:paraId="476E6F26" w14:textId="77777777" w:rsidR="00B939A2" w:rsidRPr="00860921" w:rsidRDefault="00B939A2" w:rsidP="00A376A0">
      <w:pPr>
        <w:pStyle w:val="Paragrafoelenco"/>
        <w:numPr>
          <w:ilvl w:val="0"/>
          <w:numId w:val="35"/>
        </w:numPr>
      </w:pPr>
      <w:r w:rsidRPr="00860921">
        <w:t xml:space="preserve">propone le necessarie modifiche del PTCP, qualora intervengano mutamenti nell'organizzazione o nell'attività dell'amministrazione, ovvero a seguito di significative violazioni delle prescrizioni del piano stesso (articolo 1 comma 10 lettera a) legge 190/2012); </w:t>
      </w:r>
    </w:p>
    <w:p w14:paraId="72AACDDB" w14:textId="77777777" w:rsidR="00B939A2" w:rsidRPr="00860921" w:rsidRDefault="00B939A2" w:rsidP="00A376A0">
      <w:pPr>
        <w:pStyle w:val="Paragrafoelenco"/>
        <w:numPr>
          <w:ilvl w:val="0"/>
          <w:numId w:val="35"/>
        </w:numPr>
      </w:pPr>
      <w:r w:rsidRPr="00860921">
        <w:t xml:space="preserve">definisce le procedure per selezionare e formare i dipendenti destinati ad operare in settori di attività particolarmente esposti alla corruzione (articolo 1 comma 8 legge 190/2012); </w:t>
      </w:r>
    </w:p>
    <w:p w14:paraId="1DA84E96" w14:textId="77777777" w:rsidR="00B939A2" w:rsidRPr="00860921" w:rsidRDefault="00B939A2" w:rsidP="00A376A0">
      <w:pPr>
        <w:pStyle w:val="Paragrafoelenco"/>
        <w:numPr>
          <w:ilvl w:val="0"/>
          <w:numId w:val="35"/>
        </w:numPr>
      </w:pPr>
      <w:r w:rsidRPr="00860921">
        <w:t xml:space="preserve">individua il personale da inserire nei programmi di formazione della Scuola superiore della pubblica amministrazione, la quale predispone percorsi, anche specifici e settoriali, di formazione dei dipendenti delle pubbliche amministrazioni statali sui temi dell'etica e della legalità (articolo 1 commi 10, lettera c), e 11 legge 190/2012); </w:t>
      </w:r>
    </w:p>
    <w:p w14:paraId="5CDB8611" w14:textId="77777777" w:rsidR="00B939A2" w:rsidRPr="00860921" w:rsidRDefault="00B939A2" w:rsidP="00A376A0">
      <w:pPr>
        <w:pStyle w:val="Paragrafoelenco"/>
        <w:numPr>
          <w:ilvl w:val="0"/>
          <w:numId w:val="35"/>
        </w:numPr>
      </w:pPr>
      <w:r w:rsidRPr="00860921">
        <w:t xml:space="preserve">d'intesa con il dirigente competente, verifica l'effettiva rotazione degli incarichi negli uffici che svolgono attività per le quali è più elevato il rischio di malaffare (articolo 1 comma 10 lettera b) della legge 190/2012), fermo il comma 221 della  legge 208/2015 che prevede quanto segue: “(…) non trovano applicazione le disposizioni adottate ai sensi dell'articolo 1 comma 5 della legge 190/2012, ove la dimensione dell'ente risulti incompatibile con la rotazione dell'incarico dirigenziale”; </w:t>
      </w:r>
    </w:p>
    <w:p w14:paraId="6CB30F24" w14:textId="77777777" w:rsidR="00B939A2" w:rsidRPr="00860921" w:rsidRDefault="00B939A2" w:rsidP="00A376A0">
      <w:pPr>
        <w:pStyle w:val="Paragrafoelenco"/>
        <w:numPr>
          <w:ilvl w:val="0"/>
          <w:numId w:val="35"/>
        </w:numPr>
      </w:pPr>
      <w:r w:rsidRPr="00860921">
        <w:t xml:space="preserve">riferisce sull’attività svolta all’organo di indirizzo, nei casi in cui lo stesso organo di indirizzo politico lo richieda, o qualora sia il responsabile anticorruzione a ritenerlo opportuno (articolo 1 comma 14 legge 190/2012); </w:t>
      </w:r>
    </w:p>
    <w:p w14:paraId="2C58D788" w14:textId="77777777" w:rsidR="00B939A2" w:rsidRPr="00860921" w:rsidRDefault="00B939A2" w:rsidP="00A376A0">
      <w:pPr>
        <w:pStyle w:val="Paragrafoelenco"/>
        <w:numPr>
          <w:ilvl w:val="0"/>
          <w:numId w:val="35"/>
        </w:numPr>
      </w:pPr>
      <w:r w:rsidRPr="00860921">
        <w:t xml:space="preserve">entro il 15 dicembre di ogni anno, trasmette all’OIV e all’organo di indirizzo una relazione recante i risultati dell’attività svolta, pubblicata nel sito web dell’amministrazione;  </w:t>
      </w:r>
    </w:p>
    <w:p w14:paraId="67515532" w14:textId="77777777" w:rsidR="00B939A2" w:rsidRPr="00860921" w:rsidRDefault="00B939A2" w:rsidP="00A376A0">
      <w:pPr>
        <w:pStyle w:val="Paragrafoelenco"/>
        <w:numPr>
          <w:ilvl w:val="0"/>
          <w:numId w:val="35"/>
        </w:numPr>
      </w:pPr>
      <w:r w:rsidRPr="00860921">
        <w:t xml:space="preserve">trasmette all’OIV informazioni e documenti quando richiesti dallo stesso organo di controllo (articolo 1 comma 8-bis legge 190/2012); </w:t>
      </w:r>
    </w:p>
    <w:p w14:paraId="363E425F" w14:textId="77777777" w:rsidR="00B939A2" w:rsidRPr="00860921" w:rsidRDefault="00B939A2" w:rsidP="00A376A0">
      <w:pPr>
        <w:pStyle w:val="Paragrafoelenco"/>
        <w:numPr>
          <w:ilvl w:val="0"/>
          <w:numId w:val="35"/>
        </w:numPr>
      </w:pPr>
      <w:r w:rsidRPr="00860921">
        <w:lastRenderedPageBreak/>
        <w:t>segnala all'organo di indirizzo e all'OIV le eventuali disfunzioni inerenti all'attuazione delle misure in materia di prevenzione della corruzione e di trasparenza (articolo 1 comma 7 legge 190/2012);</w:t>
      </w:r>
    </w:p>
    <w:p w14:paraId="0D84FCDF" w14:textId="77777777" w:rsidR="00B939A2" w:rsidRPr="00860921" w:rsidRDefault="00B939A2" w:rsidP="00A376A0">
      <w:pPr>
        <w:pStyle w:val="Paragrafoelenco"/>
        <w:numPr>
          <w:ilvl w:val="0"/>
          <w:numId w:val="35"/>
        </w:numPr>
      </w:pPr>
      <w:r w:rsidRPr="00860921">
        <w:t xml:space="preserve">indica agli uffici disciplinari i dipendenti che non hanno attuato correttamente le misure in materia di prevenzione della corruzione e di trasparenza (articolo 1 comma 7 legge 190/2012); </w:t>
      </w:r>
    </w:p>
    <w:p w14:paraId="41E5BFFE" w14:textId="77777777" w:rsidR="00B939A2" w:rsidRPr="00860921" w:rsidRDefault="00B939A2" w:rsidP="00A376A0">
      <w:pPr>
        <w:pStyle w:val="Paragrafoelenco"/>
        <w:numPr>
          <w:ilvl w:val="0"/>
          <w:numId w:val="35"/>
        </w:numPr>
      </w:pPr>
      <w:r w:rsidRPr="00860921">
        <w:t xml:space="preserve">segnala all’ANAC le eventuali misure discriminatorie, dirette o indirette, assunte nei suoi confronti “per motivi collegati, direttamente o indirettamente, allo svolgimento delle sue funzioni” (articolo 1 comma 7 legge 190/2012); </w:t>
      </w:r>
    </w:p>
    <w:p w14:paraId="260349F8" w14:textId="77777777" w:rsidR="00B939A2" w:rsidRPr="00860921" w:rsidRDefault="00B939A2" w:rsidP="00A376A0">
      <w:pPr>
        <w:pStyle w:val="Paragrafoelenco"/>
        <w:numPr>
          <w:ilvl w:val="0"/>
          <w:numId w:val="35"/>
        </w:numPr>
      </w:pPr>
      <w:r w:rsidRPr="00860921">
        <w:t xml:space="preserve">quando richiesto, riferisce all’ANAC in merito allo stato di attuazione delle misure di prevenzione della corruzione e per la trasparenza (PNA 2016, paragrafo 5.3, pagina 23);  </w:t>
      </w:r>
    </w:p>
    <w:p w14:paraId="673968A3" w14:textId="11A8C3E5" w:rsidR="00B939A2" w:rsidRPr="00860921" w:rsidRDefault="00B939A2" w:rsidP="00A376A0">
      <w:pPr>
        <w:pStyle w:val="Paragrafoelenco"/>
        <w:numPr>
          <w:ilvl w:val="0"/>
          <w:numId w:val="35"/>
        </w:numPr>
      </w:pPr>
      <w:r w:rsidRPr="00860921">
        <w:t>quale responsabile per la trasparenza, svolge un'attività di controllo sull'adempimento degli obblighi di pubblicazione previsti dalla normativa vigente, assicurando la completezza, la chiarezza e l'aggiornamento delle informazioni pubblicate (articolo 43 comma 1 del decreto legislativo 33/2013)</w:t>
      </w:r>
      <w:r w:rsidR="0080053D">
        <w:t>;</w:t>
      </w:r>
    </w:p>
    <w:p w14:paraId="2070223D" w14:textId="77777777" w:rsidR="00B939A2" w:rsidRPr="00860921" w:rsidRDefault="00B939A2" w:rsidP="0080053D">
      <w:pPr>
        <w:pStyle w:val="Paragrafoelenco"/>
        <w:numPr>
          <w:ilvl w:val="0"/>
          <w:numId w:val="35"/>
        </w:numPr>
      </w:pPr>
      <w:r w:rsidRPr="00860921">
        <w:t xml:space="preserve">quale responsabile per la trasparenza, segnala all'organo di indirizzo politico, all'OIV, all'ANAC e, nei casi più gravi, all'ufficio disciplinare i casi di mancato o ritardato adempimento degli obblighi di pubblicazione (articolo 43 commi 1 e 5 del decreto legislativo 33/2013);  </w:t>
      </w:r>
    </w:p>
    <w:p w14:paraId="08DE3CA7" w14:textId="77777777" w:rsidR="00B939A2" w:rsidRPr="00860921" w:rsidRDefault="00B939A2" w:rsidP="0080053D">
      <w:pPr>
        <w:pStyle w:val="Paragrafoelenco"/>
        <w:numPr>
          <w:ilvl w:val="0"/>
          <w:numId w:val="35"/>
        </w:numPr>
      </w:pPr>
      <w:r w:rsidRPr="00860921">
        <w:t>al fine di assicurare l’effettivo inserimento dei dati nell’Anagrafe unica delle stazioni appaltanti (AUSA), il responsabile anticorruzione è tenuto a sollecitare l’individuazione del soggetto preposto all’iscrizione e all’aggiornamento dei dati e a indicarne il nome all’interno del PTPCT (PNA 2016 paragrafo 5.2 pagina 21);</w:t>
      </w:r>
    </w:p>
    <w:p w14:paraId="50C998E0" w14:textId="77777777" w:rsidR="00B939A2" w:rsidRPr="00860921" w:rsidRDefault="00B939A2" w:rsidP="0080053D">
      <w:pPr>
        <w:pStyle w:val="Paragrafoelenco"/>
        <w:numPr>
          <w:ilvl w:val="0"/>
          <w:numId w:val="35"/>
        </w:numPr>
      </w:pPr>
      <w:r w:rsidRPr="00860921">
        <w:t>può essere designato quale soggetto preposto all’iscrizione e all’aggiornamento dei dati nell’Anagrafe unica delle stazioni appaltanti (AUSA) (PNA 2016 paragrafo 5.2 pagina 22);</w:t>
      </w:r>
    </w:p>
    <w:p w14:paraId="60FAAAC8" w14:textId="2D85B5AA" w:rsidR="00B939A2" w:rsidRPr="00860921" w:rsidRDefault="00B939A2" w:rsidP="0080053D">
      <w:pPr>
        <w:pStyle w:val="Paragrafoelenco"/>
        <w:numPr>
          <w:ilvl w:val="0"/>
          <w:numId w:val="35"/>
        </w:numPr>
      </w:pPr>
      <w:r w:rsidRPr="00860921">
        <w:t>può essere designato quale “gestore delle segnalazioni di operazioni finanziarie sospette</w:t>
      </w:r>
      <w:r w:rsidR="00C31F5A" w:rsidRPr="00860921">
        <w:t>”</w:t>
      </w:r>
      <w:r w:rsidRPr="00860921">
        <w:t xml:space="preserve"> ai sensi del DM 25 settembre 2015 (PNA 2016 paragrafo 5.2 pagina 17). </w:t>
      </w:r>
    </w:p>
    <w:p w14:paraId="0B769998" w14:textId="113A37F9" w:rsidR="00B939A2" w:rsidRPr="00860921" w:rsidRDefault="00CC1319" w:rsidP="00A376A0">
      <w:r w:rsidRPr="00860921">
        <w:t>Il</w:t>
      </w:r>
      <w:r w:rsidR="00B939A2" w:rsidRPr="00860921">
        <w:t xml:space="preserve"> RPCT</w:t>
      </w:r>
      <w:r w:rsidR="00B64586" w:rsidRPr="00860921">
        <w:t xml:space="preserve"> </w:t>
      </w:r>
      <w:r w:rsidR="00B939A2" w:rsidRPr="00860921">
        <w:t>svolge attività di controllo sull’adempimento</w:t>
      </w:r>
      <w:r w:rsidR="00B64586" w:rsidRPr="00860921">
        <w:t>,</w:t>
      </w:r>
      <w:r w:rsidR="00B939A2" w:rsidRPr="00860921">
        <w:t xml:space="preserve"> da parte dell’amministrazione</w:t>
      </w:r>
      <w:r w:rsidR="00B64586" w:rsidRPr="00860921">
        <w:t>,</w:t>
      </w:r>
      <w:r w:rsidR="00B939A2" w:rsidRPr="00860921">
        <w:t xml:space="preserve"> degli obblighi di pubblicazione previsti dalla normativa vigente, assicurando la completezza, la chiarezza e l’aggiornamento delle informazioni pubblicate</w:t>
      </w:r>
      <w:r w:rsidR="00B64586" w:rsidRPr="00860921">
        <w:t>,</w:t>
      </w:r>
      <w:r w:rsidR="00B939A2" w:rsidRPr="00860921">
        <w:t xml:space="preserve"> nonché segnalando all’organo di indirizzo politico, </w:t>
      </w:r>
      <w:r w:rsidR="00A82292" w:rsidRPr="00860921">
        <w:t>all’</w:t>
      </w:r>
      <w:r w:rsidR="00B939A2" w:rsidRPr="00860921">
        <w:t>OIV, all’A</w:t>
      </w:r>
      <w:r w:rsidR="00A82292" w:rsidRPr="00860921">
        <w:t xml:space="preserve">NAC </w:t>
      </w:r>
      <w:r w:rsidR="00B939A2" w:rsidRPr="00860921">
        <w:t>e, nei casi più gravi, all’ufficio di disciplina i casi di mancato o ritardato adempimento degli obblighi di pubblicazione</w:t>
      </w:r>
      <w:r w:rsidR="00B64586" w:rsidRPr="00860921">
        <w:t xml:space="preserve"> </w:t>
      </w:r>
      <w:r w:rsidR="00B939A2" w:rsidRPr="00860921">
        <w:t xml:space="preserve">(art. 43, comma 1, d.lgs. 33/2013). </w:t>
      </w:r>
    </w:p>
    <w:p w14:paraId="72060827" w14:textId="3D7CC974" w:rsidR="004A541E" w:rsidRPr="00860921" w:rsidRDefault="00B64586" w:rsidP="00A376A0">
      <w:r w:rsidRPr="00860921">
        <w:t xml:space="preserve">Il RPCT </w:t>
      </w:r>
      <w:r w:rsidR="00B939A2" w:rsidRPr="00860921">
        <w:t>collabora</w:t>
      </w:r>
      <w:r w:rsidRPr="00860921">
        <w:t xml:space="preserve"> con </w:t>
      </w:r>
      <w:r w:rsidR="00B939A2" w:rsidRPr="00860921">
        <w:t>l’A</w:t>
      </w:r>
      <w:r w:rsidRPr="00860921">
        <w:t xml:space="preserve">NAC per </w:t>
      </w:r>
      <w:r w:rsidR="00B939A2" w:rsidRPr="00860921">
        <w:t>favorire l</w:t>
      </w:r>
      <w:r w:rsidRPr="00860921">
        <w:t>’</w:t>
      </w:r>
      <w:r w:rsidR="00B939A2" w:rsidRPr="00860921">
        <w:t>attuazione della disciplina sulla trasparenza (ANAC, deliberazione n. 1074/2018, pag. 16). Le modalità di interlocuzione e di raccordo sono state definite dall’Autorità con il Regolamento del 29</w:t>
      </w:r>
      <w:r w:rsidRPr="00860921">
        <w:t>/3/</w:t>
      </w:r>
      <w:r w:rsidR="00B939A2" w:rsidRPr="00860921">
        <w:t xml:space="preserve">2017. </w:t>
      </w:r>
    </w:p>
    <w:p w14:paraId="77AC784A" w14:textId="77777777" w:rsidR="00C87E03" w:rsidRPr="00860921" w:rsidRDefault="00C87E03" w:rsidP="00A376A0">
      <w:pPr>
        <w:rPr>
          <w:color w:val="0F243E" w:themeColor="text2" w:themeShade="80"/>
        </w:rPr>
      </w:pPr>
    </w:p>
    <w:p w14:paraId="2E8FA306" w14:textId="529BA509" w:rsidR="005E19B5" w:rsidRPr="00860921" w:rsidRDefault="00B64586" w:rsidP="0080053D">
      <w:pPr>
        <w:pStyle w:val="Titolo4"/>
      </w:pPr>
      <w:bookmarkStart w:id="10" w:name="_Toc97543220"/>
      <w:bookmarkStart w:id="11" w:name="_Toc150499181"/>
      <w:r w:rsidRPr="00860921">
        <w:t>L’organo di indirizzo politico</w:t>
      </w:r>
      <w:bookmarkEnd w:id="10"/>
      <w:bookmarkEnd w:id="11"/>
    </w:p>
    <w:p w14:paraId="18DACF2D" w14:textId="6F24EA79" w:rsidR="003107CF" w:rsidRPr="00860921" w:rsidRDefault="004A541E" w:rsidP="0080053D">
      <w:r w:rsidRPr="00860921">
        <w:t xml:space="preserve">La disciplina assegna al RPCT </w:t>
      </w:r>
      <w:r w:rsidR="00041FE7" w:rsidRPr="00860921">
        <w:t xml:space="preserve">compiti </w:t>
      </w:r>
      <w:r w:rsidRPr="00860921">
        <w:t xml:space="preserve">di coordinamento del processo di gestione del rischio, con particolare riferimento alla fase di predisposizione del PTPCT e al monitoraggio.  </w:t>
      </w:r>
      <w:r w:rsidR="00B64586" w:rsidRPr="00860921">
        <w:t>In tale quadro, l</w:t>
      </w:r>
      <w:r w:rsidR="003107CF" w:rsidRPr="00860921">
        <w:t xml:space="preserve">’organo di indirizzo politico </w:t>
      </w:r>
      <w:r w:rsidR="00B64586" w:rsidRPr="00860921">
        <w:t>ha il compito di</w:t>
      </w:r>
      <w:r w:rsidR="00F46D21" w:rsidRPr="00860921">
        <w:t xml:space="preserve">: </w:t>
      </w:r>
    </w:p>
    <w:p w14:paraId="1D4AAE57" w14:textId="339C9522" w:rsidR="003107CF" w:rsidRPr="00860921" w:rsidRDefault="00F46D21" w:rsidP="0080053D">
      <w:pPr>
        <w:pStyle w:val="Paragrafoelenco"/>
        <w:numPr>
          <w:ilvl w:val="0"/>
          <w:numId w:val="36"/>
        </w:numPr>
      </w:pPr>
      <w:r w:rsidRPr="00860921">
        <w:t xml:space="preserve">valorizzare, in sede di formulazione degli indirizzi e delle strategie dell’amministrazione, lo sviluppo e la realizzazione di un efficace processo di gestione del rischio di corruzione; </w:t>
      </w:r>
    </w:p>
    <w:p w14:paraId="550F13E6" w14:textId="654ED248" w:rsidR="003107CF" w:rsidRPr="00860921" w:rsidRDefault="00F46D21" w:rsidP="0080053D">
      <w:pPr>
        <w:pStyle w:val="Paragrafoelenco"/>
        <w:numPr>
          <w:ilvl w:val="0"/>
          <w:numId w:val="36"/>
        </w:numPr>
      </w:pPr>
      <w:r w:rsidRPr="00860921">
        <w:t xml:space="preserve">tenere conto, in sede di nomina del RPCT, delle competenze e della autorevolezza necessarie al corretto svolgimento delle funzioni ad esso assegnate e ad operarsi affinché le stesse siano sviluppate nel tempo; </w:t>
      </w:r>
    </w:p>
    <w:p w14:paraId="3E7B45A8" w14:textId="61BC80B7" w:rsidR="003107CF" w:rsidRPr="00860921" w:rsidRDefault="00F46D21" w:rsidP="0080053D">
      <w:pPr>
        <w:pStyle w:val="Paragrafoelenco"/>
        <w:numPr>
          <w:ilvl w:val="0"/>
          <w:numId w:val="36"/>
        </w:numPr>
      </w:pPr>
      <w:r w:rsidRPr="00860921">
        <w:t xml:space="preserve">assicurare al RPCT un supporto concreto, garantendo la disponibilità di risorse umane e digitali adeguate, al fine di favorire il corretto svolgimento delle sue funzioni; </w:t>
      </w:r>
    </w:p>
    <w:p w14:paraId="1A2C157A" w14:textId="3FF69B3B" w:rsidR="00F46D21" w:rsidRPr="00860921" w:rsidRDefault="00F46D21" w:rsidP="0080053D">
      <w:pPr>
        <w:pStyle w:val="Paragrafoelenco"/>
        <w:numPr>
          <w:ilvl w:val="0"/>
          <w:numId w:val="36"/>
        </w:numPr>
      </w:pPr>
      <w:r w:rsidRPr="00860921">
        <w:t xml:space="preserve">promuovere una cultura della valutazione del rischio all’interno dell’organizzazione, incentivando l’attuazione di percorsi formativi e di sensibilizzazione relativi all’etica pubblica che coinvolgano l’intero personale.  </w:t>
      </w:r>
    </w:p>
    <w:p w14:paraId="72AE0644" w14:textId="193344C2" w:rsidR="00B64586" w:rsidRPr="00860921" w:rsidRDefault="00B64586" w:rsidP="0080053D"/>
    <w:p w14:paraId="52FE5CE2" w14:textId="041E5123" w:rsidR="00B64586" w:rsidRPr="00860921" w:rsidRDefault="006B633A" w:rsidP="006B633A">
      <w:pPr>
        <w:pStyle w:val="Titolo4"/>
      </w:pPr>
      <w:bookmarkStart w:id="12" w:name="_Toc97543221"/>
      <w:bookmarkStart w:id="13" w:name="_Toc150499182"/>
      <w:r>
        <w:t>I</w:t>
      </w:r>
      <w:r w:rsidR="00F46D21" w:rsidRPr="00860921">
        <w:t xml:space="preserve"> responsabili delle unità organizzative</w:t>
      </w:r>
      <w:bookmarkEnd w:id="12"/>
      <w:bookmarkEnd w:id="13"/>
      <w:r w:rsidR="00F46D21" w:rsidRPr="00860921">
        <w:t xml:space="preserve"> </w:t>
      </w:r>
    </w:p>
    <w:p w14:paraId="28409BD3" w14:textId="50B557FD" w:rsidR="003107CF" w:rsidRPr="00860921" w:rsidRDefault="006B633A" w:rsidP="006B633A">
      <w:r>
        <w:t xml:space="preserve">I </w:t>
      </w:r>
      <w:r w:rsidR="00B64586" w:rsidRPr="00860921">
        <w:t xml:space="preserve">funzionari responsabili delle unità organizzative devono collaborare alla programmazione ed all’attuazione delle misure di prevenzione e contrasto della corruzione. </w:t>
      </w:r>
      <w:r w:rsidR="00F46D21" w:rsidRPr="00860921">
        <w:t xml:space="preserve"> </w:t>
      </w:r>
      <w:r w:rsidR="001F3F0F" w:rsidRPr="00860921">
        <w:t xml:space="preserve">In particolare, devono: </w:t>
      </w:r>
    </w:p>
    <w:p w14:paraId="51A6B176" w14:textId="52FC6A80" w:rsidR="003107CF" w:rsidRPr="00860921" w:rsidRDefault="00F46D21" w:rsidP="006B633A">
      <w:pPr>
        <w:pStyle w:val="Paragrafoelenco"/>
        <w:numPr>
          <w:ilvl w:val="0"/>
          <w:numId w:val="37"/>
        </w:numPr>
      </w:pPr>
      <w:r w:rsidRPr="00860921">
        <w:lastRenderedPageBreak/>
        <w:t xml:space="preserve">valorizzare la realizzazione di un efficace processo di gestione del rischio di corruzione in sede di formulazione degli obiettivi delle proprie unità organizzative; </w:t>
      </w:r>
    </w:p>
    <w:p w14:paraId="02F2E479" w14:textId="522C9CF2" w:rsidR="003107CF" w:rsidRPr="00860921" w:rsidRDefault="00F46D21" w:rsidP="006B633A">
      <w:pPr>
        <w:pStyle w:val="Paragrafoelenco"/>
        <w:numPr>
          <w:ilvl w:val="0"/>
          <w:numId w:val="37"/>
        </w:numPr>
      </w:pPr>
      <w:r w:rsidRPr="00860921">
        <w:t xml:space="preserve">partecipare attivamente al processo di gestione del rischio, coordinandosi opportunamente con il RPCT, e fornendo i dati e le informazioni necessarie per realizzare l’analisi del contesto, la valutazione, il trattamento del rischio e il monitoraggio delle misure; </w:t>
      </w:r>
    </w:p>
    <w:p w14:paraId="3B3398F3" w14:textId="679BE15B" w:rsidR="003107CF" w:rsidRPr="00860921" w:rsidRDefault="00F46D21" w:rsidP="006B633A">
      <w:pPr>
        <w:pStyle w:val="Paragrafoelenco"/>
        <w:numPr>
          <w:ilvl w:val="0"/>
          <w:numId w:val="37"/>
        </w:numPr>
      </w:pPr>
      <w:r w:rsidRPr="00860921">
        <w:t xml:space="preserve">curare lo sviluppo delle proprie competenze in materia di gestione del rischio di corruzione e promuovere la formazione in materia dei dipendenti assegnati ai propri uffici, nonché la diffusione di una cultura organizzativa basata sull’integrità; </w:t>
      </w:r>
    </w:p>
    <w:p w14:paraId="457F7573" w14:textId="30609699" w:rsidR="003107CF" w:rsidRPr="00860921" w:rsidRDefault="00F46D21" w:rsidP="006B633A">
      <w:pPr>
        <w:pStyle w:val="Paragrafoelenco"/>
        <w:numPr>
          <w:ilvl w:val="0"/>
          <w:numId w:val="37"/>
        </w:numPr>
      </w:pPr>
      <w:r w:rsidRPr="00860921">
        <w:t xml:space="preserve">assumersi la responsabilità dell’attuazione delle misure di propria competenza programmate nel PTPCT e operare in maniera tale da creare le condizioni che consentano l’efficace attuazione delle stesse da parte del loro personale (ad esempio, contribuendo con proposte di misure specifiche che tengano conto dei principi guida indicati nel PNA 2019 e, in particolare, dei principi di selettività, effettività, prevalenza della sostanza sulla forma); </w:t>
      </w:r>
    </w:p>
    <w:p w14:paraId="45C99F15" w14:textId="7937890D" w:rsidR="00F46D21" w:rsidRPr="00860921" w:rsidRDefault="00F46D21" w:rsidP="006B633A">
      <w:pPr>
        <w:pStyle w:val="Paragrafoelenco"/>
        <w:numPr>
          <w:ilvl w:val="0"/>
          <w:numId w:val="37"/>
        </w:numPr>
      </w:pPr>
      <w:r w:rsidRPr="00860921">
        <w:t xml:space="preserve">tener conto, in sede di valutazione delle performance, del reale contributo apportato dai dipendenti all’attuazione del processo di gestione del rischio e del loro grado di collaborazione con il RPCT.  </w:t>
      </w:r>
    </w:p>
    <w:p w14:paraId="55FBC8DC" w14:textId="77777777" w:rsidR="001F3F0F" w:rsidRPr="00860921" w:rsidRDefault="001F3F0F" w:rsidP="00860921">
      <w:pPr>
        <w:pStyle w:val="Corpotesto"/>
        <w:jc w:val="both"/>
        <w:rPr>
          <w:rFonts w:eastAsia="Calibri"/>
          <w:bCs/>
          <w:sz w:val="24"/>
          <w:lang w:eastAsia="en-US"/>
        </w:rPr>
      </w:pPr>
    </w:p>
    <w:p w14:paraId="63FF2D17" w14:textId="1666D90C" w:rsidR="001F3F0F" w:rsidRPr="00860921" w:rsidRDefault="001F3F0F" w:rsidP="006B633A">
      <w:pPr>
        <w:pStyle w:val="Titolo4"/>
      </w:pPr>
      <w:bookmarkStart w:id="14" w:name="_Toc97543222"/>
      <w:bookmarkStart w:id="15" w:name="_Toc150499183"/>
      <w:r w:rsidRPr="00860921">
        <w:t>Gli Organismi Indipendenti di Valutazione (OIV)</w:t>
      </w:r>
      <w:bookmarkEnd w:id="14"/>
      <w:bookmarkEnd w:id="15"/>
    </w:p>
    <w:p w14:paraId="62E8CE74" w14:textId="52905F49" w:rsidR="003107CF" w:rsidRPr="00860921" w:rsidRDefault="00F46D21" w:rsidP="006B633A">
      <w:r w:rsidRPr="00860921">
        <w:t>Gli Organismi Indipendenti di Valutazione (OIV) e le strutture c</w:t>
      </w:r>
      <w:r w:rsidR="001F3F0F" w:rsidRPr="00860921">
        <w:t xml:space="preserve">he svolgono </w:t>
      </w:r>
      <w:r w:rsidRPr="00860921">
        <w:t>funzioni assimilabili,</w:t>
      </w:r>
      <w:r w:rsidR="001F3F0F" w:rsidRPr="00860921">
        <w:t xml:space="preserve"> quali i </w:t>
      </w:r>
      <w:r w:rsidR="00C227A8" w:rsidRPr="00860921">
        <w:t>N</w:t>
      </w:r>
      <w:r w:rsidR="001F3F0F" w:rsidRPr="00860921">
        <w:t xml:space="preserve">uclei di valutazione, partecipano alle politiche di contrasto della corruzione e </w:t>
      </w:r>
      <w:r w:rsidRPr="00860921">
        <w:t xml:space="preserve">devono: </w:t>
      </w:r>
    </w:p>
    <w:p w14:paraId="18453294" w14:textId="0C88E291" w:rsidR="003107CF" w:rsidRPr="00860921" w:rsidRDefault="00F46D21" w:rsidP="006B633A">
      <w:pPr>
        <w:pStyle w:val="Paragrafoelenco"/>
        <w:numPr>
          <w:ilvl w:val="0"/>
          <w:numId w:val="38"/>
        </w:numPr>
      </w:pPr>
      <w:r w:rsidRPr="00860921">
        <w:t xml:space="preserve">offrire, nell’ambito delle proprie competenze specifiche, un supporto metodologico al RPCT e agli altri attori, con riferimento alla corretta attuazione del processo di gestione del rischio corruttivo; </w:t>
      </w:r>
    </w:p>
    <w:p w14:paraId="31B2039A" w14:textId="19B19585" w:rsidR="003107CF" w:rsidRPr="00860921" w:rsidRDefault="00F46D21" w:rsidP="006B633A">
      <w:pPr>
        <w:pStyle w:val="Paragrafoelenco"/>
        <w:numPr>
          <w:ilvl w:val="0"/>
          <w:numId w:val="38"/>
        </w:numPr>
      </w:pPr>
      <w:r w:rsidRPr="00860921">
        <w:t xml:space="preserve">fornire, qualora disponibili, dati e informazioni utili all’analisi del contesto (inclusa la rilevazione dei processi), alla valutazione e al trattamento dei rischi; </w:t>
      </w:r>
    </w:p>
    <w:p w14:paraId="1540E864" w14:textId="4306D8A3" w:rsidR="00F46D21" w:rsidRPr="00860921" w:rsidRDefault="00F46D21" w:rsidP="006B633A">
      <w:pPr>
        <w:pStyle w:val="Paragrafoelenco"/>
        <w:numPr>
          <w:ilvl w:val="0"/>
          <w:numId w:val="38"/>
        </w:numPr>
      </w:pPr>
      <w:r w:rsidRPr="00860921">
        <w:t xml:space="preserve">favorire l’integrazione metodologica tra il ciclo di gestione della performance e il ciclo di gestione del rischio corruttivo.  </w:t>
      </w:r>
    </w:p>
    <w:p w14:paraId="761FF5B4" w14:textId="77777777" w:rsidR="003107CF" w:rsidRPr="00860921" w:rsidRDefault="003107CF" w:rsidP="006B633A">
      <w:pPr>
        <w:pStyle w:val="Paragrafoelenco"/>
        <w:numPr>
          <w:ilvl w:val="0"/>
          <w:numId w:val="38"/>
        </w:numPr>
      </w:pPr>
      <w:r w:rsidRPr="00860921">
        <w:t>Il RPCT può</w:t>
      </w:r>
      <w:r w:rsidR="00F46D21" w:rsidRPr="00860921">
        <w:t xml:space="preserve"> avvalersi delle strutture di vigilanza ed audit interno, laddove presenti, per: </w:t>
      </w:r>
    </w:p>
    <w:p w14:paraId="4321EF21" w14:textId="586831D2" w:rsidR="003107CF" w:rsidRPr="00860921" w:rsidRDefault="00F46D21" w:rsidP="006B633A">
      <w:pPr>
        <w:pStyle w:val="Paragrafoelenco"/>
        <w:numPr>
          <w:ilvl w:val="0"/>
          <w:numId w:val="38"/>
        </w:numPr>
      </w:pPr>
      <w:r w:rsidRPr="00860921">
        <w:t xml:space="preserve">attuare il sistema di monitoraggio del PTPCT, richiedendo all’organo di indirizzo politico il supporto di queste strutture per realizzare le attività di verifica (audit) sull’attuazione e l’idoneità delle misure di trattamento del rischio; </w:t>
      </w:r>
    </w:p>
    <w:p w14:paraId="07DF9ED5" w14:textId="51BC5B95" w:rsidR="00F46D21" w:rsidRPr="00860921" w:rsidRDefault="00F46D21" w:rsidP="006B633A">
      <w:pPr>
        <w:pStyle w:val="Paragrafoelenco"/>
        <w:numPr>
          <w:ilvl w:val="0"/>
          <w:numId w:val="38"/>
        </w:numPr>
      </w:pPr>
      <w:r w:rsidRPr="00860921">
        <w:t xml:space="preserve">svolgere l’esame periodico della funzionalità del processo di gestione del rischio.  </w:t>
      </w:r>
    </w:p>
    <w:p w14:paraId="42123E2B" w14:textId="50E7C5B2" w:rsidR="001F3F0F" w:rsidRPr="00860921" w:rsidRDefault="001F3F0F" w:rsidP="00860921">
      <w:pPr>
        <w:pStyle w:val="Corpotesto"/>
        <w:ind w:left="360"/>
        <w:jc w:val="both"/>
        <w:rPr>
          <w:rFonts w:eastAsia="Calibri"/>
          <w:bCs/>
          <w:sz w:val="24"/>
          <w:lang w:eastAsia="en-US"/>
        </w:rPr>
      </w:pPr>
    </w:p>
    <w:p w14:paraId="669821D7" w14:textId="49AF550E" w:rsidR="001F3F0F" w:rsidRPr="00860921" w:rsidRDefault="001F3F0F" w:rsidP="006B633A">
      <w:pPr>
        <w:pStyle w:val="Titolo4"/>
      </w:pPr>
      <w:bookmarkStart w:id="16" w:name="_Toc97543223"/>
      <w:bookmarkStart w:id="17" w:name="_Toc150499184"/>
      <w:r w:rsidRPr="00860921">
        <w:t>Il personale dipendente</w:t>
      </w:r>
      <w:bookmarkEnd w:id="16"/>
      <w:bookmarkEnd w:id="17"/>
    </w:p>
    <w:p w14:paraId="28DCFCB0" w14:textId="0F22A00F" w:rsidR="00F46D21" w:rsidRPr="00860921" w:rsidRDefault="00C227A8" w:rsidP="006B633A">
      <w:r w:rsidRPr="00860921">
        <w:t>I</w:t>
      </w:r>
      <w:r w:rsidR="003107CF" w:rsidRPr="00860921">
        <w:t xml:space="preserve"> </w:t>
      </w:r>
      <w:r w:rsidR="001F3F0F" w:rsidRPr="00860921">
        <w:t xml:space="preserve">singoli </w:t>
      </w:r>
      <w:r w:rsidR="003107CF" w:rsidRPr="00860921">
        <w:t>dipendenti</w:t>
      </w:r>
      <w:r w:rsidR="003107CF" w:rsidRPr="00860921">
        <w:rPr>
          <w:b/>
        </w:rPr>
        <w:t xml:space="preserve"> </w:t>
      </w:r>
      <w:r w:rsidR="003107CF" w:rsidRPr="00860921">
        <w:t xml:space="preserve">partecipano </w:t>
      </w:r>
      <w:r w:rsidR="00F46D21" w:rsidRPr="00860921">
        <w:t xml:space="preserve">attivamente al processo di gestione del rischio e, in particolare, alla attuazione delle misure di prevenzione programmate nel PTPCT.  </w:t>
      </w:r>
    </w:p>
    <w:p w14:paraId="40D6C554" w14:textId="3E632210" w:rsidR="00F46D21" w:rsidRPr="00860921" w:rsidRDefault="00F46D21" w:rsidP="006B633A">
      <w:r w:rsidRPr="00860921">
        <w:t xml:space="preserve">Tutti i soggetti che dispongono di dati utili e rilevanti (es. uffici legali interni, uffici di statistica, uffici di controllo interno, ecc.) hanno l’obbligo di fornirli tempestivamente al RPCT ai fini della corretta attuazione del processo di gestione del rischio.  </w:t>
      </w:r>
    </w:p>
    <w:p w14:paraId="7C1E85A4" w14:textId="77777777" w:rsidR="00C227A8" w:rsidRPr="00860921" w:rsidRDefault="00C227A8" w:rsidP="00860921">
      <w:pPr>
        <w:pStyle w:val="Corpotesto"/>
        <w:jc w:val="both"/>
        <w:rPr>
          <w:rFonts w:eastAsia="Calibri"/>
          <w:bCs/>
          <w:sz w:val="24"/>
          <w:lang w:eastAsia="en-US"/>
        </w:rPr>
      </w:pPr>
    </w:p>
    <w:p w14:paraId="15D9CAF4" w14:textId="5C839979" w:rsidR="003237FC" w:rsidRPr="00860921" w:rsidRDefault="00F242A1" w:rsidP="006B633A">
      <w:pPr>
        <w:pStyle w:val="Titolo4"/>
      </w:pPr>
      <w:bookmarkStart w:id="18" w:name="_Toc87523790"/>
      <w:bookmarkStart w:id="19" w:name="_Toc97543224"/>
      <w:bookmarkStart w:id="20" w:name="_Toc150499185"/>
      <w:r w:rsidRPr="00860921">
        <w:t>L</w:t>
      </w:r>
      <w:r w:rsidR="00D77A89" w:rsidRPr="00860921">
        <w:t>e modalità di approvazione delle misure di prevenzione della corruzione e per la trasparenza</w:t>
      </w:r>
      <w:bookmarkEnd w:id="18"/>
      <w:bookmarkEnd w:id="19"/>
      <w:bookmarkEnd w:id="20"/>
    </w:p>
    <w:p w14:paraId="543A677F" w14:textId="3E9B35DE" w:rsidR="00D77A89" w:rsidRPr="00860921" w:rsidRDefault="00C227A8" w:rsidP="006B633A">
      <w:bookmarkStart w:id="21" w:name="_Hlk499549421"/>
      <w:r w:rsidRPr="00860921">
        <w:t xml:space="preserve">Premesso che l’attività di elaborazione non può essere affidata a soggetti esterni all'amministrazione, il </w:t>
      </w:r>
      <w:r w:rsidR="00F242A1" w:rsidRPr="00860921">
        <w:t xml:space="preserve">RPCT </w:t>
      </w:r>
      <w:r w:rsidR="00D77A89" w:rsidRPr="00860921">
        <w:t xml:space="preserve">deve </w:t>
      </w:r>
      <w:r w:rsidR="00A94D5E" w:rsidRPr="00860921">
        <w:t>elabora</w:t>
      </w:r>
      <w:r w:rsidR="00D77A89" w:rsidRPr="00860921">
        <w:t>re</w:t>
      </w:r>
      <w:r w:rsidR="00A94D5E" w:rsidRPr="00860921">
        <w:t xml:space="preserve"> e </w:t>
      </w:r>
      <w:r w:rsidR="00F242A1" w:rsidRPr="00860921">
        <w:t>propo</w:t>
      </w:r>
      <w:r w:rsidR="00D77A89" w:rsidRPr="00860921">
        <w:t>rre</w:t>
      </w:r>
      <w:r w:rsidR="00F242A1" w:rsidRPr="00860921">
        <w:t xml:space="preserve"> </w:t>
      </w:r>
      <w:r w:rsidR="00D77A89" w:rsidRPr="00860921">
        <w:t>le misure di prevenzione della corruzione e per la trasparenza da inserire nel PIAO</w:t>
      </w:r>
      <w:r w:rsidRPr="00860921">
        <w:t>, ovvero lo schema del PTPCT.</w:t>
      </w:r>
      <w:r w:rsidR="00D77A89" w:rsidRPr="00860921">
        <w:t xml:space="preserve"> </w:t>
      </w:r>
    </w:p>
    <w:bookmarkEnd w:id="21"/>
    <w:p w14:paraId="1F9D1958" w14:textId="78127B11" w:rsidR="000F4A82" w:rsidRPr="00860921" w:rsidRDefault="000F4A82" w:rsidP="006B633A">
      <w:r w:rsidRPr="00860921">
        <w:t>L’A</w:t>
      </w:r>
      <w:r w:rsidR="00790267" w:rsidRPr="00860921">
        <w:t>NAC</w:t>
      </w:r>
      <w:r w:rsidRPr="00860921">
        <w:t xml:space="preserve"> sostiene che </w:t>
      </w:r>
      <w:r w:rsidR="00D47973" w:rsidRPr="00860921">
        <w:t>è</w:t>
      </w:r>
      <w:r w:rsidRPr="00860921">
        <w:t xml:space="preserve"> necessario assicurare la più larga condivisione delle misure anticorruzione con gli organi di indirizzo politico (ANAC determinazione n. 12 del 28</w:t>
      </w:r>
      <w:r w:rsidR="00926263" w:rsidRPr="00860921">
        <w:t>/10/</w:t>
      </w:r>
      <w:r w:rsidRPr="00860921">
        <w:t xml:space="preserve">2015). A tale scopo, ritiene </w:t>
      </w:r>
      <w:r w:rsidR="00790267" w:rsidRPr="00860921">
        <w:t>che sia u</w:t>
      </w:r>
      <w:r w:rsidRPr="00860921">
        <w:t>tile prevedere una doppi</w:t>
      </w:r>
      <w:r w:rsidR="00926263" w:rsidRPr="00860921">
        <w:t>a</w:t>
      </w:r>
      <w:r w:rsidRPr="00860921">
        <w:t xml:space="preserve"> approvazione. L’adozione di un primo schema di PTPCT e, successivamente, l’approvazione del piano in forma definitiva (PNA 2019). </w:t>
      </w:r>
    </w:p>
    <w:p w14:paraId="7C2381F0" w14:textId="049DE0F3" w:rsidR="006B633A" w:rsidRPr="006E5A29" w:rsidRDefault="006B633A" w:rsidP="006B633A">
      <w:r w:rsidRPr="006B633A">
        <w:t xml:space="preserve">Allo scopo di assicurare il coinvolgimento degli </w:t>
      </w:r>
      <w:r w:rsidRPr="006B633A">
        <w:rPr>
          <w:i/>
        </w:rPr>
        <w:t>stakeholders</w:t>
      </w:r>
      <w:r w:rsidRPr="006B633A">
        <w:t xml:space="preserve"> e degli organi politici, questa sottosezione del PIAO stata approvata a seguito di pubblicazione sul sito istituzionale dell’Ente per un periodo di 15 giorni consecutivi, al fine di acquisire eventuali suggerimenti. </w:t>
      </w:r>
      <w:r w:rsidRPr="006B633A">
        <w:rPr>
          <w:highlight w:val="yellow"/>
        </w:rPr>
        <w:t>Al termine di tale periodo non risulta pervenuto alcun suggerimento</w:t>
      </w:r>
      <w:r>
        <w:t>.</w:t>
      </w:r>
    </w:p>
    <w:p w14:paraId="11FCA853" w14:textId="77777777" w:rsidR="00F242A1" w:rsidRPr="00860921" w:rsidRDefault="00F242A1" w:rsidP="00860921">
      <w:pPr>
        <w:pStyle w:val="Corpotesto"/>
        <w:jc w:val="both"/>
        <w:rPr>
          <w:rFonts w:eastAsia="Calibri"/>
          <w:bCs/>
          <w:color w:val="0F243E" w:themeColor="text2" w:themeShade="80"/>
          <w:sz w:val="24"/>
          <w:lang w:eastAsia="en-US"/>
        </w:rPr>
      </w:pPr>
    </w:p>
    <w:p w14:paraId="7F106BED" w14:textId="275B55D8" w:rsidR="00C227A8" w:rsidRPr="00860921" w:rsidRDefault="00C227A8" w:rsidP="00F66867">
      <w:pPr>
        <w:pStyle w:val="Titolo4"/>
      </w:pPr>
      <w:bookmarkStart w:id="22" w:name="_Toc87523791"/>
      <w:bookmarkStart w:id="23" w:name="_Toc97543225"/>
      <w:bookmarkStart w:id="24" w:name="_Toc150499186"/>
      <w:r w:rsidRPr="00860921">
        <w:t>Gli obiettivi strategici</w:t>
      </w:r>
      <w:bookmarkEnd w:id="22"/>
      <w:bookmarkEnd w:id="23"/>
      <w:bookmarkEnd w:id="24"/>
    </w:p>
    <w:p w14:paraId="6F4E62D2" w14:textId="77777777" w:rsidR="006D5C02" w:rsidRPr="00F66867" w:rsidRDefault="00C227A8" w:rsidP="00F66867">
      <w:pPr>
        <w:rPr>
          <w:rFonts w:cs="Arial"/>
        </w:rPr>
      </w:pPr>
      <w:r w:rsidRPr="00F66867">
        <w:rPr>
          <w:rFonts w:cs="Arial"/>
        </w:rPr>
        <w:lastRenderedPageBreak/>
        <w:t xml:space="preserve">Il comma 8 dell’art. 1 della legge 190/2012 (rinnovato dal d.lgs. 97/2016) prevede che l'organo di indirizzo definisca obiettivi strategici in materia di prevenzione della corruzione. </w:t>
      </w:r>
    </w:p>
    <w:p w14:paraId="596852D6" w14:textId="77777777" w:rsidR="00CA360C" w:rsidRPr="00F66867" w:rsidRDefault="00C227A8" w:rsidP="00F66867">
      <w:pPr>
        <w:rPr>
          <w:rFonts w:cs="Arial"/>
        </w:rPr>
      </w:pPr>
      <w:r w:rsidRPr="00F66867">
        <w:rPr>
          <w:rFonts w:cs="Arial"/>
        </w:rPr>
        <w:t>Il primo obiettivo è quello del valore pubblico</w:t>
      </w:r>
      <w:r w:rsidR="006D5C02" w:rsidRPr="00F66867">
        <w:rPr>
          <w:rFonts w:cs="Arial"/>
        </w:rPr>
        <w:t>,</w:t>
      </w:r>
      <w:r w:rsidRPr="00F66867">
        <w:rPr>
          <w:rFonts w:cs="Arial"/>
        </w:rPr>
        <w:t xml:space="preserve"> secondo le indicazioni del DM 132/2022 (art. 3)</w:t>
      </w:r>
      <w:r w:rsidR="006D5C02" w:rsidRPr="00F66867">
        <w:rPr>
          <w:rFonts w:cs="Arial"/>
        </w:rPr>
        <w:t xml:space="preserve">, che </w:t>
      </w:r>
      <w:r w:rsidRPr="00F66867">
        <w:rPr>
          <w:rFonts w:cs="Arial"/>
        </w:rPr>
        <w:t xml:space="preserve">può essere </w:t>
      </w:r>
      <w:r w:rsidR="006D5C02" w:rsidRPr="00F66867">
        <w:rPr>
          <w:rFonts w:cs="Arial"/>
        </w:rPr>
        <w:t xml:space="preserve">realizzato sapendo che </w:t>
      </w:r>
      <w:r w:rsidRPr="00F66867">
        <w:rPr>
          <w:rFonts w:cs="Arial"/>
        </w:rPr>
        <w:t>prevenzione della corruzione e trasparenza sono</w:t>
      </w:r>
      <w:r w:rsidR="006D5C02" w:rsidRPr="00F66867">
        <w:rPr>
          <w:rFonts w:cs="Arial"/>
        </w:rPr>
        <w:t xml:space="preserve"> strumenti di </w:t>
      </w:r>
      <w:r w:rsidRPr="00F66867">
        <w:rPr>
          <w:rFonts w:cs="Arial"/>
        </w:rPr>
        <w:t>creazione del valore pubblico, di natura trasversale</w:t>
      </w:r>
      <w:r w:rsidR="006D5C02" w:rsidRPr="00F66867">
        <w:rPr>
          <w:rFonts w:cs="Arial"/>
        </w:rPr>
        <w:t xml:space="preserve">, </w:t>
      </w:r>
      <w:r w:rsidRPr="00F66867">
        <w:rPr>
          <w:rFonts w:cs="Arial"/>
        </w:rPr>
        <w:t xml:space="preserve">per la realizzazione della missione istituzionale. </w:t>
      </w:r>
    </w:p>
    <w:p w14:paraId="7666025C" w14:textId="039D4D79" w:rsidR="00C227A8" w:rsidRPr="00F66867" w:rsidRDefault="00CA360C" w:rsidP="00F66867">
      <w:pPr>
        <w:rPr>
          <w:rFonts w:cs="Arial"/>
        </w:rPr>
      </w:pPr>
      <w:r w:rsidRPr="00F66867">
        <w:rPr>
          <w:rFonts w:cs="Arial"/>
        </w:rPr>
        <w:t>L’</w:t>
      </w:r>
      <w:r w:rsidR="00C227A8" w:rsidRPr="00F66867">
        <w:rPr>
          <w:rFonts w:cs="Arial"/>
        </w:rPr>
        <w:t xml:space="preserve">obiettivo generale va poi declinato in obiettivi strategici. </w:t>
      </w:r>
    </w:p>
    <w:p w14:paraId="4A7E52D4" w14:textId="77777777" w:rsidR="00C227A8" w:rsidRPr="00F66867" w:rsidRDefault="00C227A8" w:rsidP="00F66867">
      <w:pPr>
        <w:rPr>
          <w:rFonts w:cs="Arial"/>
        </w:rPr>
      </w:pPr>
      <w:r w:rsidRPr="00F66867">
        <w:rPr>
          <w:rFonts w:cs="Arial"/>
        </w:rPr>
        <w:t xml:space="preserve">L’amministrazione ritiene che la trasparenza sostanziale dell’azione amministrativa sia la misura principale per contrastare i fenomeni corruttivi. </w:t>
      </w:r>
    </w:p>
    <w:p w14:paraId="6B3C5991" w14:textId="77777777" w:rsidR="00C227A8" w:rsidRPr="00F66867" w:rsidRDefault="00C227A8" w:rsidP="00F66867">
      <w:pPr>
        <w:rPr>
          <w:rFonts w:cs="Arial"/>
        </w:rPr>
      </w:pPr>
      <w:r w:rsidRPr="00F66867">
        <w:rPr>
          <w:rFonts w:cs="Arial"/>
        </w:rPr>
        <w:t xml:space="preserve">Pertanto, intende perseguire i seguenti obiettivi di trasparenza sostanziale: </w:t>
      </w:r>
    </w:p>
    <w:p w14:paraId="0545059E" w14:textId="4FF8C87E" w:rsidR="00C227A8" w:rsidRPr="00F66867" w:rsidRDefault="00C227A8" w:rsidP="00F66867">
      <w:pPr>
        <w:pStyle w:val="Paragrafoelenco"/>
        <w:numPr>
          <w:ilvl w:val="0"/>
          <w:numId w:val="39"/>
        </w:numPr>
        <w:rPr>
          <w:rFonts w:cs="Arial"/>
        </w:rPr>
      </w:pPr>
      <w:r w:rsidRPr="00F66867">
        <w:rPr>
          <w:rFonts w:cs="Arial"/>
        </w:rPr>
        <w:t xml:space="preserve">la trasparenza quale reale ed effettiva accessibilità totale alle informazioni concernenti l'organizzazione e l'attività dell’amministrazione; </w:t>
      </w:r>
    </w:p>
    <w:p w14:paraId="43F52E47" w14:textId="23610369" w:rsidR="00C227A8" w:rsidRPr="00F66867" w:rsidRDefault="00C227A8" w:rsidP="00F66867">
      <w:pPr>
        <w:pStyle w:val="Paragrafoelenco"/>
        <w:numPr>
          <w:ilvl w:val="0"/>
          <w:numId w:val="39"/>
        </w:numPr>
        <w:rPr>
          <w:rFonts w:cs="Arial"/>
        </w:rPr>
      </w:pPr>
      <w:r w:rsidRPr="00F66867">
        <w:rPr>
          <w:rFonts w:cs="Arial"/>
        </w:rPr>
        <w:t xml:space="preserve">il libero e illimitato esercizio dell’accesso civico, come normato </w:t>
      </w:r>
      <w:r w:rsidR="006D5C02" w:rsidRPr="00F66867">
        <w:rPr>
          <w:rFonts w:cs="Arial"/>
        </w:rPr>
        <w:t>dal</w:t>
      </w:r>
      <w:r w:rsidRPr="00F66867">
        <w:rPr>
          <w:rFonts w:cs="Arial"/>
        </w:rPr>
        <w:t xml:space="preserve"> d.lgs. 97/2016, quale diritto riconosciuto a chiunque</w:t>
      </w:r>
      <w:r w:rsidR="00F66867" w:rsidRPr="00F66867">
        <w:rPr>
          <w:rFonts w:cs="Arial"/>
        </w:rPr>
        <w:t>;</w:t>
      </w:r>
    </w:p>
    <w:p w14:paraId="62E62DFB" w14:textId="5BCCAABC" w:rsidR="00F66867" w:rsidRPr="00F66867" w:rsidRDefault="00F66867" w:rsidP="00F66867">
      <w:pPr>
        <w:pStyle w:val="Paragrafoelenco"/>
        <w:numPr>
          <w:ilvl w:val="0"/>
          <w:numId w:val="39"/>
        </w:numPr>
        <w:rPr>
          <w:rFonts w:cs="Arial"/>
        </w:rPr>
      </w:pPr>
      <w:r w:rsidRPr="00F66867">
        <w:rPr>
          <w:rFonts w:cs="Arial"/>
        </w:rPr>
        <w:t>l’informatizzazione dei flussi per alimentare la pubblicazione dei dati nella sezione amministrazione trasparente.</w:t>
      </w:r>
    </w:p>
    <w:p w14:paraId="2FFD3641" w14:textId="77777777" w:rsidR="00C227A8" w:rsidRPr="00F66867" w:rsidRDefault="00C227A8" w:rsidP="00F66867">
      <w:pPr>
        <w:rPr>
          <w:rFonts w:cs="Arial"/>
        </w:rPr>
      </w:pPr>
      <w:r w:rsidRPr="00F66867">
        <w:rPr>
          <w:rFonts w:cs="Arial"/>
        </w:rPr>
        <w:t xml:space="preserve">Tali obiettivi hanno la funzione precipua di indirizzare l’azione amministrativa ed i comportamenti degli operatori verso: </w:t>
      </w:r>
    </w:p>
    <w:p w14:paraId="20173B00" w14:textId="5E1B9E9F" w:rsidR="00C227A8" w:rsidRPr="00F66867" w:rsidRDefault="00C227A8" w:rsidP="00F66867">
      <w:pPr>
        <w:pStyle w:val="Paragrafoelenco"/>
        <w:numPr>
          <w:ilvl w:val="0"/>
          <w:numId w:val="40"/>
        </w:numPr>
        <w:rPr>
          <w:rFonts w:cs="Arial"/>
        </w:rPr>
      </w:pPr>
      <w:r w:rsidRPr="00F66867">
        <w:rPr>
          <w:rFonts w:cs="Arial"/>
        </w:rPr>
        <w:t xml:space="preserve">elevati livelli di trasparenza dell’azione amministrativa e dei comportamenti di dipendenti e funzionari pubblici, anche onorari; </w:t>
      </w:r>
    </w:p>
    <w:p w14:paraId="363F2B3E" w14:textId="69C3F35C" w:rsidR="00C227A8" w:rsidRPr="00F66867" w:rsidRDefault="00C227A8" w:rsidP="00F66867">
      <w:pPr>
        <w:pStyle w:val="Paragrafoelenco"/>
        <w:numPr>
          <w:ilvl w:val="0"/>
          <w:numId w:val="40"/>
        </w:numPr>
        <w:rPr>
          <w:rFonts w:cs="Arial"/>
        </w:rPr>
      </w:pPr>
      <w:r w:rsidRPr="00F66867">
        <w:rPr>
          <w:rFonts w:cs="Arial"/>
        </w:rPr>
        <w:t xml:space="preserve">lo sviluppo della cultura della legalità e dell’integrità nella gestione del bene pubblico. </w:t>
      </w:r>
    </w:p>
    <w:p w14:paraId="5CC6DFB5" w14:textId="62ADAF5C" w:rsidR="00C227A8" w:rsidRPr="00F66867" w:rsidRDefault="00C227A8" w:rsidP="00F66867">
      <w:pPr>
        <w:rPr>
          <w:rFonts w:cs="Arial"/>
        </w:rPr>
      </w:pPr>
      <w:r w:rsidRPr="00F66867">
        <w:rPr>
          <w:rFonts w:cs="Arial"/>
        </w:rPr>
        <w:t xml:space="preserve">Gli obiettivi strategici sono stati formulati coerentemente con la programmazione prevista nella sottosezione </w:t>
      </w:r>
      <w:r w:rsidR="00F66867" w:rsidRPr="00F66867">
        <w:rPr>
          <w:rFonts w:cs="Arial"/>
        </w:rPr>
        <w:t xml:space="preserve">2.2 </w:t>
      </w:r>
      <w:r w:rsidRPr="00F66867">
        <w:rPr>
          <w:rFonts w:cs="Arial"/>
        </w:rPr>
        <w:t xml:space="preserve">del PIAO dedicata alla performance. </w:t>
      </w:r>
    </w:p>
    <w:p w14:paraId="5ED11042" w14:textId="77777777" w:rsidR="00710031" w:rsidRPr="00860921" w:rsidRDefault="00710031" w:rsidP="00860921">
      <w:pPr>
        <w:rPr>
          <w:rFonts w:cs="Arial"/>
          <w:b/>
          <w:bCs/>
          <w:color w:val="FF0000"/>
          <w:sz w:val="24"/>
          <w:szCs w:val="24"/>
        </w:rPr>
      </w:pPr>
      <w:r w:rsidRPr="00860921">
        <w:rPr>
          <w:rFonts w:cs="Arial"/>
          <w:b/>
          <w:bCs/>
          <w:color w:val="FF0000"/>
          <w:sz w:val="24"/>
          <w:szCs w:val="24"/>
        </w:rPr>
        <w:br w:type="page"/>
      </w:r>
    </w:p>
    <w:p w14:paraId="15699AA2" w14:textId="77777777" w:rsidR="00D26A0D" w:rsidRPr="00860921" w:rsidRDefault="00D26A0D" w:rsidP="00860921">
      <w:pPr>
        <w:rPr>
          <w:rFonts w:cs="Arial"/>
          <w:b/>
          <w:bCs/>
          <w:color w:val="FF0000"/>
          <w:sz w:val="24"/>
          <w:szCs w:val="24"/>
        </w:rPr>
      </w:pPr>
    </w:p>
    <w:p w14:paraId="0F5DE67C" w14:textId="71F379F6" w:rsidR="002C6DA1" w:rsidRPr="00860921" w:rsidRDefault="00880CDD" w:rsidP="00B82DAD">
      <w:pPr>
        <w:pStyle w:val="Titolo1"/>
      </w:pPr>
      <w:bookmarkStart w:id="25" w:name="_Toc87523793"/>
      <w:bookmarkStart w:id="26" w:name="_Toc97543227"/>
      <w:bookmarkStart w:id="27" w:name="_Toc150499187"/>
      <w:r w:rsidRPr="00860921">
        <w:t>L’a</w:t>
      </w:r>
      <w:r w:rsidR="00963AA7" w:rsidRPr="00860921">
        <w:t>nalisi del contesto</w:t>
      </w:r>
      <w:bookmarkEnd w:id="25"/>
      <w:bookmarkEnd w:id="26"/>
      <w:bookmarkEnd w:id="27"/>
      <w:r w:rsidR="00963AA7" w:rsidRPr="00860921">
        <w:t xml:space="preserve"> </w:t>
      </w:r>
    </w:p>
    <w:p w14:paraId="2F75561A" w14:textId="77777777" w:rsidR="00B82DAD" w:rsidRDefault="00B82DAD" w:rsidP="00B82DAD">
      <w:pPr>
        <w:pStyle w:val="TitoloB"/>
        <w:keepNext/>
        <w:widowControl w:val="0"/>
        <w:spacing w:after="0" w:line="240" w:lineRule="auto"/>
        <w:ind w:right="0"/>
        <w:outlineLvl w:val="1"/>
        <w:rPr>
          <w:sz w:val="24"/>
          <w:szCs w:val="24"/>
        </w:rPr>
      </w:pPr>
      <w:bookmarkStart w:id="28" w:name="_Toc87523794"/>
      <w:bookmarkStart w:id="29" w:name="_Toc97543228"/>
      <w:bookmarkStart w:id="30" w:name="_Toc150499188"/>
    </w:p>
    <w:p w14:paraId="05966C80" w14:textId="1E68A457" w:rsidR="00D43009" w:rsidRPr="00860921" w:rsidRDefault="00880CDD" w:rsidP="00B82DAD">
      <w:pPr>
        <w:pStyle w:val="Titolo3"/>
      </w:pPr>
      <w:r w:rsidRPr="00860921">
        <w:t>L’a</w:t>
      </w:r>
      <w:r w:rsidR="00D43009" w:rsidRPr="00860921">
        <w:t>nalisi del contesto esterno</w:t>
      </w:r>
      <w:bookmarkEnd w:id="28"/>
      <w:bookmarkEnd w:id="29"/>
      <w:bookmarkEnd w:id="30"/>
    </w:p>
    <w:p w14:paraId="76CD0C11" w14:textId="6AC940A3" w:rsidR="00D43009" w:rsidRPr="002765C0" w:rsidRDefault="00A2706B" w:rsidP="002765C0">
      <w:r w:rsidRPr="002765C0">
        <w:t>L</w:t>
      </w:r>
      <w:r w:rsidR="00FA65C7" w:rsidRPr="002765C0">
        <w:t>’analisi del contesto</w:t>
      </w:r>
      <w:r w:rsidRPr="002765C0">
        <w:t xml:space="preserve"> permette di a</w:t>
      </w:r>
      <w:r w:rsidR="00FA65C7" w:rsidRPr="002765C0">
        <w:t>cquisi</w:t>
      </w:r>
      <w:r w:rsidRPr="002765C0">
        <w:t xml:space="preserve">re </w:t>
      </w:r>
      <w:r w:rsidR="00FA65C7" w:rsidRPr="002765C0">
        <w:t xml:space="preserve">informazioni necessarie </w:t>
      </w:r>
      <w:r w:rsidRPr="002765C0">
        <w:t>per</w:t>
      </w:r>
      <w:r w:rsidR="00FA65C7" w:rsidRPr="002765C0">
        <w:t xml:space="preserve"> identificare i rischi corruttivi, in relazione sia alle caratteristiche dell’ambiente in cui </w:t>
      </w:r>
      <w:r w:rsidR="0016272D" w:rsidRPr="002765C0">
        <w:t xml:space="preserve">si </w:t>
      </w:r>
      <w:r w:rsidR="00FA65C7" w:rsidRPr="002765C0">
        <w:t>opera (</w:t>
      </w:r>
      <w:r w:rsidR="00FA65C7" w:rsidRPr="002765C0">
        <w:rPr>
          <w:i/>
          <w:iCs/>
        </w:rPr>
        <w:t>contesto esterno</w:t>
      </w:r>
      <w:r w:rsidR="00FA65C7" w:rsidRPr="002765C0">
        <w:t>), sia alla propria organizzazione ed attività (</w:t>
      </w:r>
      <w:r w:rsidR="00FA65C7" w:rsidRPr="002765C0">
        <w:rPr>
          <w:i/>
          <w:iCs/>
        </w:rPr>
        <w:t>contesto interno</w:t>
      </w:r>
      <w:r w:rsidR="00FA65C7" w:rsidRPr="002765C0">
        <w:t xml:space="preserve">). </w:t>
      </w:r>
      <w:r w:rsidR="00D43009" w:rsidRPr="002765C0">
        <w:t xml:space="preserve"> </w:t>
      </w:r>
    </w:p>
    <w:p w14:paraId="091E2766" w14:textId="2832C8DD" w:rsidR="00FA65C7" w:rsidRPr="002765C0" w:rsidRDefault="00FA65C7" w:rsidP="002765C0">
      <w:r w:rsidRPr="002765C0">
        <w:t xml:space="preserve">L’analisi del </w:t>
      </w:r>
      <w:r w:rsidRPr="002765C0">
        <w:rPr>
          <w:i/>
          <w:iCs/>
        </w:rPr>
        <w:t>contesto esterno</w:t>
      </w:r>
      <w:r w:rsidR="00A2706B" w:rsidRPr="002765C0">
        <w:rPr>
          <w:i/>
          <w:iCs/>
        </w:rPr>
        <w:t xml:space="preserve"> </w:t>
      </w:r>
      <w:r w:rsidRPr="002765C0">
        <w:t>individua e descri</w:t>
      </w:r>
      <w:r w:rsidR="00A2706B" w:rsidRPr="002765C0">
        <w:t xml:space="preserve">ve </w:t>
      </w:r>
      <w:r w:rsidRPr="002765C0">
        <w:t xml:space="preserve">le caratteristiche culturali, sociali ed economiche del territorio, ovvero del settore specifico di intervento e di come queste ultime </w:t>
      </w:r>
      <w:r w:rsidR="00A2706B" w:rsidRPr="002765C0">
        <w:t>(</w:t>
      </w:r>
      <w:r w:rsidRPr="002765C0">
        <w:t>così come le relazioni esistenti con gli stakeholders</w:t>
      </w:r>
      <w:r w:rsidR="00A2706B" w:rsidRPr="002765C0">
        <w:t xml:space="preserve">) </w:t>
      </w:r>
      <w:r w:rsidRPr="002765C0">
        <w:t>possano condizionare impropriamente l’attività</w:t>
      </w:r>
      <w:r w:rsidR="00A2706B" w:rsidRPr="002765C0">
        <w:t xml:space="preserve">. </w:t>
      </w:r>
      <w:r w:rsidRPr="002765C0">
        <w:t xml:space="preserve">Da tale analisi emerge la valutazione di </w:t>
      </w:r>
      <w:r w:rsidRPr="002765C0">
        <w:rPr>
          <w:i/>
          <w:iCs/>
        </w:rPr>
        <w:t>impatto del contesto esterno</w:t>
      </w:r>
      <w:r w:rsidRPr="002765C0">
        <w:t xml:space="preserve"> in termini di esposizione al rischio.</w:t>
      </w:r>
    </w:p>
    <w:p w14:paraId="2B3833A7" w14:textId="77777777" w:rsidR="00CA360C" w:rsidRDefault="00CA360C" w:rsidP="00860921">
      <w:pPr>
        <w:rPr>
          <w:rFonts w:cs="Arial"/>
          <w:b/>
          <w:color w:val="00B0F0"/>
          <w:sz w:val="24"/>
          <w:szCs w:val="24"/>
          <w:u w:val="single"/>
        </w:rPr>
      </w:pPr>
    </w:p>
    <w:p w14:paraId="53C95515" w14:textId="77777777" w:rsidR="00005402" w:rsidRPr="00005402" w:rsidRDefault="00005402" w:rsidP="00005402">
      <w:r w:rsidRPr="00005402">
        <w:t>Per la valutazione del contesto esterno rilevante ai fini del PTPCT sono stati analizzati:</w:t>
      </w:r>
    </w:p>
    <w:p w14:paraId="672DAA90" w14:textId="77777777" w:rsidR="0025213A" w:rsidRDefault="00005402" w:rsidP="0025213A">
      <w:pPr>
        <w:pStyle w:val="Paragrafoelenco"/>
        <w:numPr>
          <w:ilvl w:val="0"/>
          <w:numId w:val="42"/>
        </w:numPr>
      </w:pPr>
      <w:r w:rsidRPr="00005402">
        <w:t>La “Relazione sull’attività delle forze di polizia, sullo stato dell’ordine e della sicurezza pubblica e sulla criminalità organizzata” trasmessa dal Ministro dell’Interno alla Camera dei Deputati (relazione 2022)</w:t>
      </w:r>
    </w:p>
    <w:p w14:paraId="28D0BF6E" w14:textId="5DF5541E" w:rsidR="00005402" w:rsidRPr="00005402" w:rsidRDefault="0025213A" w:rsidP="0025213A">
      <w:pPr>
        <w:pStyle w:val="Paragrafoelenco"/>
      </w:pPr>
      <w:hyperlink r:id="rId8" w:history="1">
        <w:r w:rsidRPr="009B06F2">
          <w:rPr>
            <w:rStyle w:val="Collegamentoipertestuale"/>
          </w:rPr>
          <w:t>https://www.senato.it/static/bgt/UltimiAtti/pergiorno/20240124.html?from=20240124&amp;to=20240124</w:t>
        </w:r>
      </w:hyperlink>
      <w:r>
        <w:t xml:space="preserve"> </w:t>
      </w:r>
    </w:p>
    <w:p w14:paraId="01024EE5" w14:textId="51E5F3C0" w:rsidR="00996B2F" w:rsidRDefault="00996B2F" w:rsidP="00005402">
      <w:pPr>
        <w:pStyle w:val="Paragrafoelenco"/>
        <w:numPr>
          <w:ilvl w:val="0"/>
          <w:numId w:val="42"/>
        </w:numPr>
      </w:pPr>
      <w:r>
        <w:t xml:space="preserve">I dati elaborati grazie al progetto “Misura la corruzione” dell’ANAC, disponibili all’indirizzo </w:t>
      </w:r>
      <w:hyperlink r:id="rId9" w:anchor="/screen/?capsulePath=Cruscotti%5CIndicatori%20di%20contesto.bcps&amp;screenId=9a72833d-fcc1-44ec-af2f-6f470eabd114&amp;showMenu=false" w:history="1">
        <w:r w:rsidRPr="009B06F2">
          <w:rPr>
            <w:rStyle w:val="Collegamentoipertestuale"/>
          </w:rPr>
          <w:t>https://anac-c1.board.com/#/screen/?capsulePath=Cruscotti%5CIndicatori%20di%20contesto.bcps&amp;screenId=9a72833d-fcc1-44ec-af2f-6f470eabd114&amp;showMenu=false</w:t>
        </w:r>
      </w:hyperlink>
      <w:r>
        <w:t xml:space="preserve"> </w:t>
      </w:r>
    </w:p>
    <w:p w14:paraId="7674C382" w14:textId="18293C7D" w:rsidR="00005402" w:rsidRPr="00005402" w:rsidRDefault="00005402" w:rsidP="00005402">
      <w:pPr>
        <w:pStyle w:val="Paragrafoelenco"/>
        <w:numPr>
          <w:ilvl w:val="0"/>
          <w:numId w:val="42"/>
        </w:numPr>
      </w:pPr>
      <w:r w:rsidRPr="00005402">
        <w:t xml:space="preserve">La “Relazione sullo stato di attuazione della LR 17/2015 e monitoraggio della presenza mafiosa in Lombardia – Edizione 2022”, elaborata da </w:t>
      </w:r>
      <w:proofErr w:type="spellStart"/>
      <w:r w:rsidRPr="00005402">
        <w:t>PoliS</w:t>
      </w:r>
      <w:proofErr w:type="spellEnd"/>
      <w:r w:rsidRPr="00005402">
        <w:t xml:space="preserve"> Lombardia in collaborazione con l’Osservatorio sulla Criminalità Organizzata dell’Università degli Studi di Milano</w:t>
      </w:r>
      <w:r w:rsidR="00996B2F">
        <w:t>;</w:t>
      </w:r>
    </w:p>
    <w:p w14:paraId="791B2B5D" w14:textId="77777777" w:rsidR="00005402" w:rsidRPr="00005402" w:rsidRDefault="00005402" w:rsidP="00005402">
      <w:pPr>
        <w:pStyle w:val="Paragrafoelenco"/>
        <w:numPr>
          <w:ilvl w:val="0"/>
          <w:numId w:val="42"/>
        </w:numPr>
      </w:pPr>
      <w:r w:rsidRPr="00005402">
        <w:t>Dati e analisi generali su delitti denunciati (fonte ISTAT) e posizionamento della provincia di Cremona nell’Indice della criminalità del Sole 24 Ore.</w:t>
      </w:r>
    </w:p>
    <w:p w14:paraId="2AA972C4" w14:textId="77777777" w:rsidR="00005402" w:rsidRPr="00005402" w:rsidRDefault="00005402" w:rsidP="00005402">
      <w:r w:rsidRPr="00005402">
        <w:t>Tali documenti consentono di inquadrare in modo organico la situazione di sicurezza e le possibili pressioni corruttive nell’area provinciale e regionale di riferimento.</w:t>
      </w:r>
    </w:p>
    <w:p w14:paraId="41A49661" w14:textId="77777777" w:rsidR="00005402" w:rsidRDefault="00005402" w:rsidP="00005402"/>
    <w:p w14:paraId="2C2B15AF" w14:textId="1BD1FBD8" w:rsidR="00996B2F" w:rsidRPr="00996B2F" w:rsidRDefault="00996B2F" w:rsidP="00996B2F">
      <w:r>
        <w:t>Dal</w:t>
      </w:r>
      <w:r w:rsidRPr="00996B2F">
        <w:t xml:space="preserve"> progetto “Misura la corruzione”, </w:t>
      </w:r>
      <w:r>
        <w:t xml:space="preserve">si rilevano i seguenti dati </w:t>
      </w:r>
      <w:r w:rsidR="00ED4C19">
        <w:t xml:space="preserve">di contesto </w:t>
      </w:r>
      <w:r>
        <w:t>per la provincia di Cremona</w:t>
      </w:r>
      <w:r w:rsidRPr="00996B2F">
        <w:t xml:space="preserve"> (riferiti all’esercizio 2017): </w:t>
      </w:r>
    </w:p>
    <w:p w14:paraId="4E6DCE9A" w14:textId="141D4619" w:rsidR="00996B2F" w:rsidRDefault="00996B2F" w:rsidP="00996B2F">
      <w:r w:rsidRPr="00996B2F">
        <w:rPr>
          <w:noProof/>
        </w:rPr>
        <w:drawing>
          <wp:inline distT="0" distB="0" distL="0" distR="0" wp14:anchorId="4216DEFC" wp14:editId="29FE2C5F">
            <wp:extent cx="6120130" cy="2209800"/>
            <wp:effectExtent l="0" t="0" r="0" b="0"/>
            <wp:docPr id="14168805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31402" name=""/>
                    <pic:cNvPicPr/>
                  </pic:nvPicPr>
                  <pic:blipFill rotWithShape="1">
                    <a:blip r:embed="rId10"/>
                    <a:srcRect b="58438"/>
                    <a:stretch>
                      <a:fillRect/>
                    </a:stretch>
                  </pic:blipFill>
                  <pic:spPr bwMode="auto">
                    <a:xfrm>
                      <a:off x="0" y="0"/>
                      <a:ext cx="6120130" cy="2209800"/>
                    </a:xfrm>
                    <a:prstGeom prst="rect">
                      <a:avLst/>
                    </a:prstGeom>
                    <a:ln>
                      <a:noFill/>
                    </a:ln>
                    <a:extLst>
                      <a:ext uri="{53640926-AAD7-44D8-BBD7-CCE9431645EC}">
                        <a14:shadowObscured xmlns:a14="http://schemas.microsoft.com/office/drawing/2010/main"/>
                      </a:ext>
                    </a:extLst>
                  </pic:spPr>
                </pic:pic>
              </a:graphicData>
            </a:graphic>
          </wp:inline>
        </w:drawing>
      </w:r>
    </w:p>
    <w:p w14:paraId="08EF3460" w14:textId="77777777" w:rsidR="00996B2F" w:rsidRDefault="00996B2F" w:rsidP="00996B2F">
      <w:pPr>
        <w:rPr>
          <w:i/>
          <w:iCs/>
          <w:sz w:val="18"/>
          <w:szCs w:val="18"/>
        </w:rPr>
      </w:pPr>
      <w:r w:rsidRPr="00996B2F">
        <w:rPr>
          <w:i/>
          <w:iCs/>
          <w:sz w:val="18"/>
          <w:szCs w:val="18"/>
        </w:rPr>
        <w:t>immagine tratta dal sito</w:t>
      </w:r>
    </w:p>
    <w:p w14:paraId="2AA36158" w14:textId="721774F8" w:rsidR="00996B2F" w:rsidRDefault="00996B2F" w:rsidP="00996B2F">
      <w:r w:rsidRPr="00996B2F">
        <w:rPr>
          <w:i/>
          <w:iCs/>
          <w:sz w:val="18"/>
          <w:szCs w:val="18"/>
        </w:rPr>
        <w:t>https://anac-c1.board.com/#/screen/?capsulePath=Cruscotti%5CIndicatori%20di%20contesto.bcps&amp;screenId=9a72833d-fcc1-44ec-af2f-6f470eabd114&amp;showMenu=false</w:t>
      </w:r>
    </w:p>
    <w:p w14:paraId="6212E43F" w14:textId="4EF5BD53" w:rsidR="00996B2F" w:rsidRPr="00ED4C19" w:rsidRDefault="00996B2F" w:rsidP="00996B2F">
      <w:pPr>
        <w:rPr>
          <w:i/>
          <w:iCs/>
        </w:rPr>
      </w:pPr>
      <w:r w:rsidRPr="00996B2F">
        <w:rPr>
          <w:noProof/>
        </w:rPr>
        <w:lastRenderedPageBreak/>
        <w:drawing>
          <wp:inline distT="0" distB="0" distL="0" distR="0" wp14:anchorId="5F3DD904" wp14:editId="6936F26A">
            <wp:extent cx="6120130" cy="2811780"/>
            <wp:effectExtent l="0" t="0" r="0" b="0"/>
            <wp:docPr id="18088314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31402" name=""/>
                    <pic:cNvPicPr/>
                  </pic:nvPicPr>
                  <pic:blipFill rotWithShape="1">
                    <a:blip r:embed="rId10"/>
                    <a:srcRect t="47116"/>
                    <a:stretch>
                      <a:fillRect/>
                    </a:stretch>
                  </pic:blipFill>
                  <pic:spPr bwMode="auto">
                    <a:xfrm>
                      <a:off x="0" y="0"/>
                      <a:ext cx="6120130" cy="2811780"/>
                    </a:xfrm>
                    <a:prstGeom prst="rect">
                      <a:avLst/>
                    </a:prstGeom>
                    <a:ln>
                      <a:noFill/>
                    </a:ln>
                    <a:extLst>
                      <a:ext uri="{53640926-AAD7-44D8-BBD7-CCE9431645EC}">
                        <a14:shadowObscured xmlns:a14="http://schemas.microsoft.com/office/drawing/2010/main"/>
                      </a:ext>
                    </a:extLst>
                  </pic:spPr>
                </pic:pic>
              </a:graphicData>
            </a:graphic>
          </wp:inline>
        </w:drawing>
      </w:r>
      <w:r w:rsidRPr="00ED4C19">
        <w:rPr>
          <w:i/>
          <w:iCs/>
        </w:rPr>
        <w:t>immagine tratta dal sito</w:t>
      </w:r>
      <w:r w:rsidR="00ED4C19">
        <w:rPr>
          <w:i/>
          <w:iCs/>
        </w:rPr>
        <w:t>:</w:t>
      </w:r>
    </w:p>
    <w:p w14:paraId="34700E9B" w14:textId="5BB8F81A" w:rsidR="00996B2F" w:rsidRPr="00996B2F" w:rsidRDefault="00996B2F" w:rsidP="00996B2F">
      <w:pPr>
        <w:rPr>
          <w:sz w:val="18"/>
          <w:szCs w:val="18"/>
        </w:rPr>
      </w:pPr>
      <w:r w:rsidRPr="00996B2F">
        <w:rPr>
          <w:i/>
          <w:iCs/>
          <w:sz w:val="18"/>
          <w:szCs w:val="18"/>
        </w:rPr>
        <w:t>https://anac-c1.board.com/#/screen/?capsulePath=Cruscotti%5CIndicatori%20di%20contesto.bcps&amp;screenId=9a72833d-fcc1-44ec-af2f-6f470eabd114&amp;showMenu=false</w:t>
      </w:r>
    </w:p>
    <w:p w14:paraId="49ED2919" w14:textId="77777777" w:rsidR="00996B2F" w:rsidRPr="00996B2F" w:rsidRDefault="00996B2F" w:rsidP="00996B2F">
      <w:pPr>
        <w:rPr>
          <w:color w:val="00B0F0"/>
          <w:sz w:val="20"/>
          <w:szCs w:val="20"/>
        </w:rPr>
      </w:pPr>
    </w:p>
    <w:p w14:paraId="1F3A0407" w14:textId="6C2D26C2" w:rsidR="00ED4C19" w:rsidRPr="00996B2F" w:rsidRDefault="00ED4C19" w:rsidP="00ED4C19">
      <w:r>
        <w:t>Dal</w:t>
      </w:r>
      <w:r w:rsidRPr="00996B2F">
        <w:t xml:space="preserve"> progetto “Misura la corruzione”, </w:t>
      </w:r>
      <w:r>
        <w:t xml:space="preserve">si rilevano i seguenti dati relativi agli appalti </w:t>
      </w:r>
      <w:r w:rsidRPr="00996B2F">
        <w:t>esaminati sulla scorta di 17 indicatori</w:t>
      </w:r>
      <w:r>
        <w:t xml:space="preserve"> per la provincia di Cremona</w:t>
      </w:r>
      <w:r w:rsidRPr="00996B2F">
        <w:t xml:space="preserve"> (riferiti all’esercizio </w:t>
      </w:r>
      <w:r>
        <w:t>2022</w:t>
      </w:r>
      <w:r w:rsidRPr="00996B2F">
        <w:t xml:space="preserve">): </w:t>
      </w:r>
    </w:p>
    <w:p w14:paraId="61EB6978" w14:textId="77777777" w:rsidR="00ED4C19" w:rsidRPr="00996B2F" w:rsidRDefault="00ED4C19" w:rsidP="00996B2F"/>
    <w:p w14:paraId="4FE4CAC1" w14:textId="77777777" w:rsidR="00ED4C19" w:rsidRDefault="00ED4C19" w:rsidP="00ED4C19">
      <w:pPr>
        <w:jc w:val="center"/>
        <w:rPr>
          <w:i/>
          <w:iCs/>
        </w:rPr>
      </w:pPr>
      <w:r w:rsidRPr="00ED4C19">
        <w:rPr>
          <w:noProof/>
        </w:rPr>
        <w:drawing>
          <wp:inline distT="0" distB="0" distL="0" distR="0" wp14:anchorId="23FF1351" wp14:editId="5AC8540F">
            <wp:extent cx="2943225" cy="3740037"/>
            <wp:effectExtent l="0" t="0" r="0" b="0"/>
            <wp:docPr id="6825589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58959" name=""/>
                    <pic:cNvPicPr/>
                  </pic:nvPicPr>
                  <pic:blipFill>
                    <a:blip r:embed="rId11"/>
                    <a:stretch>
                      <a:fillRect/>
                    </a:stretch>
                  </pic:blipFill>
                  <pic:spPr>
                    <a:xfrm>
                      <a:off x="0" y="0"/>
                      <a:ext cx="2954989" cy="3754986"/>
                    </a:xfrm>
                    <a:prstGeom prst="rect">
                      <a:avLst/>
                    </a:prstGeom>
                  </pic:spPr>
                </pic:pic>
              </a:graphicData>
            </a:graphic>
          </wp:inline>
        </w:drawing>
      </w:r>
    </w:p>
    <w:p w14:paraId="2E823BD3" w14:textId="33E0BDF9" w:rsidR="00ED4C19" w:rsidRPr="00ED4C19" w:rsidRDefault="00ED4C19" w:rsidP="00996B2F">
      <w:pPr>
        <w:rPr>
          <w:i/>
          <w:iCs/>
        </w:rPr>
      </w:pPr>
      <w:r w:rsidRPr="00ED4C19">
        <w:rPr>
          <w:i/>
          <w:iCs/>
        </w:rPr>
        <w:t>Immagine tratta dal sito:</w:t>
      </w:r>
    </w:p>
    <w:p w14:paraId="71DD3A8D" w14:textId="3A757216" w:rsidR="00996B2F" w:rsidRPr="00ED4C19" w:rsidRDefault="00ED4C19" w:rsidP="00996B2F">
      <w:pPr>
        <w:rPr>
          <w:i/>
          <w:iCs/>
          <w:sz w:val="18"/>
          <w:szCs w:val="18"/>
        </w:rPr>
      </w:pPr>
      <w:hyperlink r:id="rId12" w:anchor="/screen/?capsulePath=Cruscotti%5CIndicatori%20Appalti.bcps&amp;screenId=e6ce36a9-8f9c-4048-9a58-6412e1ed3a6f&amp;showMenu=false" w:history="1">
        <w:r w:rsidRPr="00ED4C19">
          <w:rPr>
            <w:rStyle w:val="Collegamentoipertestuale"/>
            <w:rFonts w:cs="Arial"/>
            <w:i/>
            <w:iCs/>
            <w:sz w:val="18"/>
            <w:szCs w:val="18"/>
          </w:rPr>
          <w:t>https://anac-c1.board.com/#/screen/?capsulePath=Cruscotti%5CIndicatori%20Appalti.bcps&amp;screenId=e6ce36a9-8f9c-4048-9a58-6412e1ed3a6f&amp;showMenu=false</w:t>
        </w:r>
      </w:hyperlink>
    </w:p>
    <w:p w14:paraId="4F1C397E" w14:textId="77777777" w:rsidR="00996B2F" w:rsidRPr="00996B2F" w:rsidRDefault="00996B2F" w:rsidP="00996B2F">
      <w:pPr>
        <w:rPr>
          <w:i/>
          <w:color w:val="FF0000"/>
        </w:rPr>
      </w:pPr>
    </w:p>
    <w:p w14:paraId="7675108B" w14:textId="77777777" w:rsidR="00005402" w:rsidRPr="00005402" w:rsidRDefault="00005402" w:rsidP="00005402">
      <w:r w:rsidRPr="00005402">
        <w:t>Le relazioni istituzionali indicano che la Lombardia rappresenta uno dei territori più esposti a fenomeni di criminalità organizzata, in particolare:</w:t>
      </w:r>
    </w:p>
    <w:p w14:paraId="5B7DAEF2" w14:textId="77777777" w:rsidR="00005402" w:rsidRPr="00005402" w:rsidRDefault="00005402" w:rsidP="00005402">
      <w:pPr>
        <w:pStyle w:val="Paragrafoelenco"/>
        <w:numPr>
          <w:ilvl w:val="0"/>
          <w:numId w:val="43"/>
        </w:numPr>
      </w:pPr>
      <w:r w:rsidRPr="00005402">
        <w:t xml:space="preserve">la </w:t>
      </w:r>
      <w:proofErr w:type="spellStart"/>
      <w:r w:rsidRPr="00005402">
        <w:t>’Ndrangheta</w:t>
      </w:r>
      <w:proofErr w:type="spellEnd"/>
      <w:r w:rsidRPr="00005402">
        <w:t xml:space="preserve"> risulta la componente mafiosa più strutturata e diffusa, caratterizzata da un modello organizzativo orizzontale che si radica nei piccoli territori;</w:t>
      </w:r>
    </w:p>
    <w:p w14:paraId="377B8466" w14:textId="77777777" w:rsidR="00005402" w:rsidRPr="00005402" w:rsidRDefault="00005402" w:rsidP="00005402">
      <w:pPr>
        <w:pStyle w:val="Paragrafoelenco"/>
        <w:numPr>
          <w:ilvl w:val="0"/>
          <w:numId w:val="43"/>
        </w:numPr>
      </w:pPr>
      <w:r w:rsidRPr="00005402">
        <w:lastRenderedPageBreak/>
        <w:t>la regione costituisce un bacino privilegiato di investimenti, specie nei settori</w:t>
      </w:r>
    </w:p>
    <w:p w14:paraId="5BF976D9" w14:textId="77777777" w:rsidR="00005402" w:rsidRPr="00005402" w:rsidRDefault="00005402" w:rsidP="00005402">
      <w:pPr>
        <w:pStyle w:val="Paragrafoelenco"/>
        <w:numPr>
          <w:ilvl w:val="1"/>
          <w:numId w:val="43"/>
        </w:numPr>
      </w:pPr>
      <w:r w:rsidRPr="00005402">
        <w:t>movimento terra</w:t>
      </w:r>
    </w:p>
    <w:p w14:paraId="2501539B" w14:textId="77777777" w:rsidR="00005402" w:rsidRPr="00005402" w:rsidRDefault="00005402" w:rsidP="00005402">
      <w:pPr>
        <w:pStyle w:val="Paragrafoelenco"/>
        <w:numPr>
          <w:ilvl w:val="1"/>
          <w:numId w:val="43"/>
        </w:numPr>
      </w:pPr>
      <w:r w:rsidRPr="00005402">
        <w:t>edilizia e appalti</w:t>
      </w:r>
    </w:p>
    <w:p w14:paraId="4315E4EA" w14:textId="77777777" w:rsidR="00005402" w:rsidRPr="00005402" w:rsidRDefault="00005402" w:rsidP="00005402">
      <w:pPr>
        <w:pStyle w:val="Paragrafoelenco"/>
        <w:numPr>
          <w:ilvl w:val="1"/>
          <w:numId w:val="43"/>
        </w:numPr>
      </w:pPr>
      <w:r w:rsidRPr="00005402">
        <w:t>logistica</w:t>
      </w:r>
    </w:p>
    <w:p w14:paraId="0928E444" w14:textId="77777777" w:rsidR="00005402" w:rsidRPr="00005402" w:rsidRDefault="00005402" w:rsidP="00005402">
      <w:pPr>
        <w:pStyle w:val="Paragrafoelenco"/>
        <w:numPr>
          <w:ilvl w:val="1"/>
          <w:numId w:val="43"/>
        </w:numPr>
      </w:pPr>
      <w:r w:rsidRPr="00005402">
        <w:t>gestione dei rifiuti</w:t>
      </w:r>
    </w:p>
    <w:p w14:paraId="5829B1AC" w14:textId="77777777" w:rsidR="00005402" w:rsidRPr="00005402" w:rsidRDefault="00005402" w:rsidP="00005402">
      <w:pPr>
        <w:pStyle w:val="Paragrafoelenco"/>
        <w:numPr>
          <w:ilvl w:val="0"/>
          <w:numId w:val="43"/>
        </w:numPr>
      </w:pPr>
      <w:r w:rsidRPr="00005402">
        <w:t>risultano attive dinamiche di infiltrazione nell’economia legale, con particolare attenzione a imprese fittizie o controllate indirettamente da sodalizi criminali.</w:t>
      </w:r>
    </w:p>
    <w:p w14:paraId="5291F2B8" w14:textId="77777777" w:rsidR="00005402" w:rsidRPr="00005402" w:rsidRDefault="00005402" w:rsidP="0000540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9"/>
        <w:gridCol w:w="6239"/>
      </w:tblGrid>
      <w:tr w:rsidR="00005402" w:rsidRPr="00005402" w14:paraId="1168A2F9" w14:textId="77777777">
        <w:trPr>
          <w:tblHeader/>
          <w:tblCellSpacing w:w="15" w:type="dxa"/>
        </w:trPr>
        <w:tc>
          <w:tcPr>
            <w:tcW w:w="0" w:type="auto"/>
            <w:vAlign w:val="center"/>
            <w:hideMark/>
          </w:tcPr>
          <w:p w14:paraId="583DD2A1" w14:textId="77777777" w:rsidR="00005402" w:rsidRPr="00005402" w:rsidRDefault="00005402" w:rsidP="00005402">
            <w:pPr>
              <w:rPr>
                <w:b/>
                <w:bCs/>
              </w:rPr>
            </w:pPr>
            <w:r w:rsidRPr="00005402">
              <w:rPr>
                <w:b/>
                <w:bCs/>
              </w:rPr>
              <w:t>Ambito</w:t>
            </w:r>
          </w:p>
        </w:tc>
        <w:tc>
          <w:tcPr>
            <w:tcW w:w="0" w:type="auto"/>
            <w:vAlign w:val="center"/>
            <w:hideMark/>
          </w:tcPr>
          <w:p w14:paraId="56C652F0" w14:textId="77777777" w:rsidR="00005402" w:rsidRPr="00005402" w:rsidRDefault="00005402" w:rsidP="00005402">
            <w:pPr>
              <w:rPr>
                <w:b/>
                <w:bCs/>
              </w:rPr>
            </w:pPr>
            <w:r w:rsidRPr="00005402">
              <w:rPr>
                <w:b/>
                <w:bCs/>
              </w:rPr>
              <w:t>Evidenze principali</w:t>
            </w:r>
          </w:p>
        </w:tc>
      </w:tr>
      <w:tr w:rsidR="00005402" w:rsidRPr="00005402" w14:paraId="5EB3F04E" w14:textId="77777777">
        <w:trPr>
          <w:tblCellSpacing w:w="15" w:type="dxa"/>
        </w:trPr>
        <w:tc>
          <w:tcPr>
            <w:tcW w:w="0" w:type="auto"/>
            <w:vAlign w:val="center"/>
            <w:hideMark/>
          </w:tcPr>
          <w:p w14:paraId="7640DF81" w14:textId="77777777" w:rsidR="00005402" w:rsidRPr="00005402" w:rsidRDefault="00005402" w:rsidP="00005402">
            <w:r w:rsidRPr="00005402">
              <w:t>Tipologie criminali prevalenti</w:t>
            </w:r>
          </w:p>
        </w:tc>
        <w:tc>
          <w:tcPr>
            <w:tcW w:w="0" w:type="auto"/>
            <w:vAlign w:val="center"/>
            <w:hideMark/>
          </w:tcPr>
          <w:p w14:paraId="31CB48C8" w14:textId="77777777" w:rsidR="00005402" w:rsidRPr="00005402" w:rsidRDefault="00005402" w:rsidP="00005402">
            <w:r w:rsidRPr="00005402">
              <w:t>Narcotraffico, riciclaggio, frodi fiscali, usura</w:t>
            </w:r>
          </w:p>
        </w:tc>
      </w:tr>
      <w:tr w:rsidR="00005402" w:rsidRPr="00005402" w14:paraId="7586BC80" w14:textId="77777777">
        <w:trPr>
          <w:tblCellSpacing w:w="15" w:type="dxa"/>
        </w:trPr>
        <w:tc>
          <w:tcPr>
            <w:tcW w:w="0" w:type="auto"/>
            <w:vAlign w:val="center"/>
            <w:hideMark/>
          </w:tcPr>
          <w:p w14:paraId="3816BD66" w14:textId="77777777" w:rsidR="00005402" w:rsidRPr="00005402" w:rsidRDefault="00005402" w:rsidP="00005402">
            <w:r w:rsidRPr="00005402">
              <w:t>Settori economici più vulnerabili</w:t>
            </w:r>
          </w:p>
        </w:tc>
        <w:tc>
          <w:tcPr>
            <w:tcW w:w="0" w:type="auto"/>
            <w:vAlign w:val="center"/>
            <w:hideMark/>
          </w:tcPr>
          <w:p w14:paraId="5B6CBC75" w14:textId="77777777" w:rsidR="00005402" w:rsidRPr="00005402" w:rsidRDefault="00005402" w:rsidP="00005402">
            <w:r w:rsidRPr="00005402">
              <w:t>Costruzioni, movimentazione terra, trasporti e logistica</w:t>
            </w:r>
          </w:p>
        </w:tc>
      </w:tr>
      <w:tr w:rsidR="00005402" w:rsidRPr="00005402" w14:paraId="1BE57984" w14:textId="77777777">
        <w:trPr>
          <w:tblCellSpacing w:w="15" w:type="dxa"/>
        </w:trPr>
        <w:tc>
          <w:tcPr>
            <w:tcW w:w="0" w:type="auto"/>
            <w:vAlign w:val="center"/>
            <w:hideMark/>
          </w:tcPr>
          <w:p w14:paraId="4CFA7F33" w14:textId="77777777" w:rsidR="00005402" w:rsidRPr="00005402" w:rsidRDefault="00005402" w:rsidP="00005402">
            <w:r w:rsidRPr="00005402">
              <w:t>Modalità operative</w:t>
            </w:r>
          </w:p>
        </w:tc>
        <w:tc>
          <w:tcPr>
            <w:tcW w:w="0" w:type="auto"/>
            <w:vAlign w:val="center"/>
            <w:hideMark/>
          </w:tcPr>
          <w:p w14:paraId="40EE9561" w14:textId="77777777" w:rsidR="00005402" w:rsidRPr="00005402" w:rsidRDefault="00005402" w:rsidP="00005402">
            <w:r w:rsidRPr="00005402">
              <w:t>Infiltrazione in piccole imprese, appalti, società di comodo</w:t>
            </w:r>
          </w:p>
        </w:tc>
      </w:tr>
      <w:tr w:rsidR="00005402" w:rsidRPr="00005402" w14:paraId="2C4C4367" w14:textId="77777777">
        <w:trPr>
          <w:tblCellSpacing w:w="15" w:type="dxa"/>
        </w:trPr>
        <w:tc>
          <w:tcPr>
            <w:tcW w:w="0" w:type="auto"/>
            <w:vAlign w:val="center"/>
            <w:hideMark/>
          </w:tcPr>
          <w:p w14:paraId="4D73772C" w14:textId="77777777" w:rsidR="00005402" w:rsidRPr="00005402" w:rsidRDefault="00005402" w:rsidP="00005402">
            <w:r w:rsidRPr="00005402">
              <w:t>Impatto potenziale sulla PA</w:t>
            </w:r>
          </w:p>
        </w:tc>
        <w:tc>
          <w:tcPr>
            <w:tcW w:w="0" w:type="auto"/>
            <w:vAlign w:val="center"/>
            <w:hideMark/>
          </w:tcPr>
          <w:p w14:paraId="61AFB1FE" w14:textId="77777777" w:rsidR="00005402" w:rsidRPr="00005402" w:rsidRDefault="00005402" w:rsidP="00005402">
            <w:r w:rsidRPr="00005402">
              <w:t>Rischi di condizionamento in procedure di gara e autorizzazioni</w:t>
            </w:r>
          </w:p>
        </w:tc>
      </w:tr>
    </w:tbl>
    <w:p w14:paraId="4169084D" w14:textId="77777777" w:rsidR="00005402" w:rsidRPr="00005402" w:rsidRDefault="00005402" w:rsidP="00005402"/>
    <w:p w14:paraId="7570577F" w14:textId="77777777" w:rsidR="00005402" w:rsidRPr="00005402" w:rsidRDefault="00005402" w:rsidP="00005402">
      <w:r w:rsidRPr="00005402">
        <w:t>La provincia di Cremona, pur non essendo tra le aree lombarde più esposte, presenta:</w:t>
      </w:r>
    </w:p>
    <w:p w14:paraId="46112A48" w14:textId="77777777" w:rsidR="00005402" w:rsidRPr="00005402" w:rsidRDefault="00005402" w:rsidP="00005402">
      <w:pPr>
        <w:pStyle w:val="Paragrafoelenco"/>
        <w:numPr>
          <w:ilvl w:val="0"/>
          <w:numId w:val="45"/>
        </w:numPr>
        <w:ind w:left="360"/>
      </w:pPr>
      <w:r w:rsidRPr="00005402">
        <w:t>presenza documentata di sodalizi di matrice ’ndranghetista, emersi in attività investigative;</w:t>
      </w:r>
    </w:p>
    <w:p w14:paraId="7815D4B9" w14:textId="77777777" w:rsidR="00005402" w:rsidRPr="00005402" w:rsidRDefault="00005402" w:rsidP="00005402">
      <w:pPr>
        <w:pStyle w:val="Paragrafoelenco"/>
        <w:numPr>
          <w:ilvl w:val="0"/>
          <w:numId w:val="45"/>
        </w:numPr>
        <w:ind w:left="360"/>
      </w:pPr>
      <w:r w:rsidRPr="00005402">
        <w:t>episodi legati a</w:t>
      </w:r>
    </w:p>
    <w:p w14:paraId="15A686AC" w14:textId="77777777" w:rsidR="00005402" w:rsidRPr="00005402" w:rsidRDefault="00005402" w:rsidP="00005402">
      <w:pPr>
        <w:ind w:left="360"/>
      </w:pPr>
      <w:r w:rsidRPr="00005402">
        <w:t>narcotraffico</w:t>
      </w:r>
    </w:p>
    <w:p w14:paraId="1A6707AD" w14:textId="77777777" w:rsidR="00005402" w:rsidRPr="00005402" w:rsidRDefault="00005402" w:rsidP="00005402">
      <w:pPr>
        <w:ind w:left="360"/>
      </w:pPr>
      <w:r w:rsidRPr="00005402">
        <w:t>riciclaggio</w:t>
      </w:r>
    </w:p>
    <w:p w14:paraId="3C29B033" w14:textId="77777777" w:rsidR="00005402" w:rsidRPr="00005402" w:rsidRDefault="00005402" w:rsidP="00005402">
      <w:pPr>
        <w:ind w:left="360"/>
      </w:pPr>
      <w:r w:rsidRPr="00005402">
        <w:t>frodi fiscali</w:t>
      </w:r>
    </w:p>
    <w:p w14:paraId="124DB988" w14:textId="77777777" w:rsidR="00005402" w:rsidRDefault="00005402" w:rsidP="00005402">
      <w:pPr>
        <w:ind w:left="360"/>
      </w:pPr>
      <w:r w:rsidRPr="00005402">
        <w:t>usura</w:t>
      </w:r>
    </w:p>
    <w:p w14:paraId="32CFEA13" w14:textId="54030117" w:rsidR="00005402" w:rsidRPr="00005402" w:rsidRDefault="00005402" w:rsidP="00005402">
      <w:pPr>
        <w:pStyle w:val="Paragrafoelenco"/>
        <w:numPr>
          <w:ilvl w:val="0"/>
          <w:numId w:val="46"/>
        </w:numPr>
      </w:pPr>
      <w:r w:rsidRPr="00005402">
        <w:t>fenomeni di penetrazione economica in alcuni settori imprenditoriali, coerenti con il quadro regionale;</w:t>
      </w:r>
    </w:p>
    <w:p w14:paraId="3B9AD91D" w14:textId="77777777" w:rsidR="00005402" w:rsidRPr="00005402" w:rsidRDefault="00005402" w:rsidP="00005402">
      <w:pPr>
        <w:pStyle w:val="Paragrafoelenco"/>
        <w:numPr>
          <w:ilvl w:val="0"/>
          <w:numId w:val="46"/>
        </w:numPr>
      </w:pPr>
      <w:r w:rsidRPr="00005402">
        <w:t>ulteriori reati diffusi quali truffe, sfruttamento della prostituzione, furti e rapine.</w:t>
      </w:r>
    </w:p>
    <w:p w14:paraId="75307588" w14:textId="77777777" w:rsidR="00005402" w:rsidRPr="00005402" w:rsidRDefault="00005402" w:rsidP="00005402">
      <w:r w:rsidRPr="00005402">
        <w:t>Il Sole 24 Ore colloca infatti la provincia di Cremona al 79° posto su 106 nell’indice complessivo della criminalità, segnalando livelli non elevati rispetto al panorama italiano.</w:t>
      </w:r>
    </w:p>
    <w:p w14:paraId="3E881011" w14:textId="77777777" w:rsidR="00005402" w:rsidRPr="00005402" w:rsidRDefault="00005402" w:rsidP="0000540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3"/>
        <w:gridCol w:w="7385"/>
      </w:tblGrid>
      <w:tr w:rsidR="00005402" w:rsidRPr="00005402" w14:paraId="5AD08A83" w14:textId="77777777">
        <w:trPr>
          <w:tblHeader/>
          <w:tblCellSpacing w:w="15" w:type="dxa"/>
        </w:trPr>
        <w:tc>
          <w:tcPr>
            <w:tcW w:w="0" w:type="auto"/>
            <w:vAlign w:val="center"/>
            <w:hideMark/>
          </w:tcPr>
          <w:p w14:paraId="4C0909C5" w14:textId="77777777" w:rsidR="00005402" w:rsidRPr="00005402" w:rsidRDefault="00005402" w:rsidP="00005402">
            <w:pPr>
              <w:rPr>
                <w:b/>
                <w:bCs/>
              </w:rPr>
            </w:pPr>
            <w:r w:rsidRPr="00005402">
              <w:rPr>
                <w:b/>
                <w:bCs/>
              </w:rPr>
              <w:t>Categoria</w:t>
            </w:r>
          </w:p>
        </w:tc>
        <w:tc>
          <w:tcPr>
            <w:tcW w:w="0" w:type="auto"/>
            <w:vAlign w:val="center"/>
            <w:hideMark/>
          </w:tcPr>
          <w:p w14:paraId="11C8AE39" w14:textId="77777777" w:rsidR="00005402" w:rsidRPr="00005402" w:rsidRDefault="00005402" w:rsidP="00005402">
            <w:pPr>
              <w:rPr>
                <w:b/>
                <w:bCs/>
              </w:rPr>
            </w:pPr>
            <w:r w:rsidRPr="00005402">
              <w:rPr>
                <w:b/>
                <w:bCs/>
              </w:rPr>
              <w:t>Valutazione sintetica</w:t>
            </w:r>
          </w:p>
        </w:tc>
      </w:tr>
      <w:tr w:rsidR="00005402" w:rsidRPr="00005402" w14:paraId="449694F1" w14:textId="77777777">
        <w:trPr>
          <w:tblCellSpacing w:w="15" w:type="dxa"/>
        </w:trPr>
        <w:tc>
          <w:tcPr>
            <w:tcW w:w="0" w:type="auto"/>
            <w:vAlign w:val="center"/>
            <w:hideMark/>
          </w:tcPr>
          <w:p w14:paraId="0D5E9A36" w14:textId="77777777" w:rsidR="00005402" w:rsidRPr="00005402" w:rsidRDefault="00005402" w:rsidP="00005402">
            <w:r w:rsidRPr="00005402">
              <w:t>Presenza mafiosa</w:t>
            </w:r>
          </w:p>
        </w:tc>
        <w:tc>
          <w:tcPr>
            <w:tcW w:w="0" w:type="auto"/>
            <w:vAlign w:val="center"/>
            <w:hideMark/>
          </w:tcPr>
          <w:p w14:paraId="014EBC33" w14:textId="77777777" w:rsidR="00005402" w:rsidRPr="00005402" w:rsidRDefault="00005402" w:rsidP="00005402">
            <w:r w:rsidRPr="00005402">
              <w:t>Documentata, ma non diffusa in modo sistemico sull’intero territorio</w:t>
            </w:r>
          </w:p>
        </w:tc>
      </w:tr>
      <w:tr w:rsidR="00005402" w:rsidRPr="00005402" w14:paraId="00DF0B15" w14:textId="77777777">
        <w:trPr>
          <w:tblCellSpacing w:w="15" w:type="dxa"/>
        </w:trPr>
        <w:tc>
          <w:tcPr>
            <w:tcW w:w="0" w:type="auto"/>
            <w:vAlign w:val="center"/>
            <w:hideMark/>
          </w:tcPr>
          <w:p w14:paraId="5FDCC607" w14:textId="77777777" w:rsidR="00005402" w:rsidRPr="00005402" w:rsidRDefault="00005402" w:rsidP="00005402">
            <w:r w:rsidRPr="00005402">
              <w:t>Infiltrazioni economiche</w:t>
            </w:r>
          </w:p>
        </w:tc>
        <w:tc>
          <w:tcPr>
            <w:tcW w:w="0" w:type="auto"/>
            <w:vAlign w:val="center"/>
            <w:hideMark/>
          </w:tcPr>
          <w:p w14:paraId="33A5F61A" w14:textId="77777777" w:rsidR="00005402" w:rsidRPr="00005402" w:rsidRDefault="00005402" w:rsidP="00005402">
            <w:r w:rsidRPr="00005402">
              <w:t>Presenti in settori ad alta intensità di capitale (edilizia, servizi)</w:t>
            </w:r>
          </w:p>
        </w:tc>
      </w:tr>
      <w:tr w:rsidR="00005402" w:rsidRPr="00005402" w14:paraId="1724C042" w14:textId="77777777">
        <w:trPr>
          <w:tblCellSpacing w:w="15" w:type="dxa"/>
        </w:trPr>
        <w:tc>
          <w:tcPr>
            <w:tcW w:w="0" w:type="auto"/>
            <w:vAlign w:val="center"/>
            <w:hideMark/>
          </w:tcPr>
          <w:p w14:paraId="07B8CA9F" w14:textId="77777777" w:rsidR="00005402" w:rsidRPr="00005402" w:rsidRDefault="00005402" w:rsidP="00005402">
            <w:r w:rsidRPr="00005402">
              <w:t>Rischio per la PA</w:t>
            </w:r>
          </w:p>
        </w:tc>
        <w:tc>
          <w:tcPr>
            <w:tcW w:w="0" w:type="auto"/>
            <w:vAlign w:val="center"/>
            <w:hideMark/>
          </w:tcPr>
          <w:p w14:paraId="5741ECC2" w14:textId="77777777" w:rsidR="00005402" w:rsidRPr="00005402" w:rsidRDefault="00005402" w:rsidP="00005402">
            <w:r w:rsidRPr="00005402">
              <w:t>Moderato: fenomeni non diffusi, ma potenziale interesse nei contratti pubblici</w:t>
            </w:r>
          </w:p>
        </w:tc>
      </w:tr>
      <w:tr w:rsidR="00005402" w:rsidRPr="00005402" w14:paraId="09081AFD" w14:textId="77777777">
        <w:trPr>
          <w:tblCellSpacing w:w="15" w:type="dxa"/>
        </w:trPr>
        <w:tc>
          <w:tcPr>
            <w:tcW w:w="0" w:type="auto"/>
            <w:vAlign w:val="center"/>
            <w:hideMark/>
          </w:tcPr>
          <w:p w14:paraId="43B446C8" w14:textId="77777777" w:rsidR="00005402" w:rsidRDefault="00005402" w:rsidP="00005402">
            <w:r w:rsidRPr="00005402">
              <w:t xml:space="preserve">Livelli di </w:t>
            </w:r>
          </w:p>
          <w:p w14:paraId="77F063D0" w14:textId="3F1FD828" w:rsidR="00005402" w:rsidRPr="00005402" w:rsidRDefault="00005402" w:rsidP="00005402">
            <w:r w:rsidRPr="00005402">
              <w:t>criminalità generale</w:t>
            </w:r>
          </w:p>
        </w:tc>
        <w:tc>
          <w:tcPr>
            <w:tcW w:w="0" w:type="auto"/>
            <w:vAlign w:val="center"/>
            <w:hideMark/>
          </w:tcPr>
          <w:p w14:paraId="5C321979" w14:textId="77777777" w:rsidR="00005402" w:rsidRPr="00005402" w:rsidRDefault="00005402" w:rsidP="00005402">
            <w:r w:rsidRPr="00005402">
              <w:t>Posizionamento medio-basso nelle classifiche nazionali</w:t>
            </w:r>
          </w:p>
        </w:tc>
      </w:tr>
    </w:tbl>
    <w:p w14:paraId="0879C35D" w14:textId="77777777" w:rsidR="00005402" w:rsidRDefault="00005402" w:rsidP="00005402"/>
    <w:p w14:paraId="566E81FA" w14:textId="72757ADA" w:rsidR="0025213A" w:rsidRDefault="0025213A" w:rsidP="00005402">
      <w:r>
        <w:t>Contesto socio economico della Provincia di Cremona:</w:t>
      </w:r>
    </w:p>
    <w:p w14:paraId="68CC6D94" w14:textId="77777777" w:rsidR="0025213A" w:rsidRDefault="0025213A" w:rsidP="0000540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8"/>
        <w:gridCol w:w="3040"/>
        <w:gridCol w:w="4060"/>
      </w:tblGrid>
      <w:tr w:rsidR="0025213A" w:rsidRPr="0025213A" w14:paraId="49C2ED51" w14:textId="77777777">
        <w:trPr>
          <w:tblHeader/>
          <w:tblCellSpacing w:w="15" w:type="dxa"/>
        </w:trPr>
        <w:tc>
          <w:tcPr>
            <w:tcW w:w="0" w:type="auto"/>
            <w:vAlign w:val="center"/>
            <w:hideMark/>
          </w:tcPr>
          <w:p w14:paraId="3F84EC15" w14:textId="77777777" w:rsidR="0025213A" w:rsidRPr="0025213A" w:rsidRDefault="0025213A" w:rsidP="0025213A">
            <w:pPr>
              <w:rPr>
                <w:b/>
                <w:bCs/>
              </w:rPr>
            </w:pPr>
            <w:r w:rsidRPr="0025213A">
              <w:rPr>
                <w:b/>
                <w:bCs/>
              </w:rPr>
              <w:t>Indicatore</w:t>
            </w:r>
          </w:p>
        </w:tc>
        <w:tc>
          <w:tcPr>
            <w:tcW w:w="0" w:type="auto"/>
            <w:vAlign w:val="center"/>
            <w:hideMark/>
          </w:tcPr>
          <w:p w14:paraId="6961C9B4" w14:textId="77777777" w:rsidR="0025213A" w:rsidRPr="0025213A" w:rsidRDefault="0025213A" w:rsidP="0025213A">
            <w:pPr>
              <w:rPr>
                <w:b/>
                <w:bCs/>
              </w:rPr>
            </w:pPr>
            <w:r w:rsidRPr="0025213A">
              <w:rPr>
                <w:b/>
                <w:bCs/>
              </w:rPr>
              <w:t>Situazione tipica nei piccoli comuni cremonesi</w:t>
            </w:r>
          </w:p>
        </w:tc>
        <w:tc>
          <w:tcPr>
            <w:tcW w:w="0" w:type="auto"/>
            <w:vAlign w:val="center"/>
            <w:hideMark/>
          </w:tcPr>
          <w:p w14:paraId="6783E3B1" w14:textId="77777777" w:rsidR="0025213A" w:rsidRPr="0025213A" w:rsidRDefault="0025213A" w:rsidP="0025213A">
            <w:pPr>
              <w:rPr>
                <w:b/>
                <w:bCs/>
              </w:rPr>
            </w:pPr>
            <w:r w:rsidRPr="0025213A">
              <w:rPr>
                <w:b/>
                <w:bCs/>
              </w:rPr>
              <w:t>Impatto potenziale sul rischio</w:t>
            </w:r>
          </w:p>
        </w:tc>
      </w:tr>
      <w:tr w:rsidR="0025213A" w:rsidRPr="0025213A" w14:paraId="3D6E7450" w14:textId="77777777">
        <w:trPr>
          <w:tblCellSpacing w:w="15" w:type="dxa"/>
        </w:trPr>
        <w:tc>
          <w:tcPr>
            <w:tcW w:w="0" w:type="auto"/>
            <w:vAlign w:val="center"/>
            <w:hideMark/>
          </w:tcPr>
          <w:p w14:paraId="56172B78" w14:textId="77777777" w:rsidR="0025213A" w:rsidRPr="0025213A" w:rsidRDefault="0025213A" w:rsidP="0025213A">
            <w:r w:rsidRPr="0025213A">
              <w:t>Tessuto imprenditoriale</w:t>
            </w:r>
          </w:p>
        </w:tc>
        <w:tc>
          <w:tcPr>
            <w:tcW w:w="0" w:type="auto"/>
            <w:vAlign w:val="center"/>
            <w:hideMark/>
          </w:tcPr>
          <w:p w14:paraId="51EB7BC6" w14:textId="77777777" w:rsidR="0025213A" w:rsidRPr="0025213A" w:rsidRDefault="0025213A" w:rsidP="0025213A">
            <w:r w:rsidRPr="0025213A">
              <w:t>Prevalenza microimprese, PMI locali</w:t>
            </w:r>
          </w:p>
        </w:tc>
        <w:tc>
          <w:tcPr>
            <w:tcW w:w="0" w:type="auto"/>
            <w:vAlign w:val="center"/>
            <w:hideMark/>
          </w:tcPr>
          <w:p w14:paraId="51F84B52" w14:textId="77777777" w:rsidR="0025213A" w:rsidRPr="0025213A" w:rsidRDefault="0025213A" w:rsidP="0025213A">
            <w:r w:rsidRPr="0025213A">
              <w:t>Basso–Moderato (presenza di operatori ricorrenti nelle gare)</w:t>
            </w:r>
          </w:p>
        </w:tc>
      </w:tr>
      <w:tr w:rsidR="0025213A" w:rsidRPr="0025213A" w14:paraId="0A08263A" w14:textId="77777777">
        <w:trPr>
          <w:tblCellSpacing w:w="15" w:type="dxa"/>
        </w:trPr>
        <w:tc>
          <w:tcPr>
            <w:tcW w:w="0" w:type="auto"/>
            <w:vAlign w:val="center"/>
            <w:hideMark/>
          </w:tcPr>
          <w:p w14:paraId="5170EDA3" w14:textId="77777777" w:rsidR="0025213A" w:rsidRPr="0025213A" w:rsidRDefault="0025213A" w:rsidP="0025213A">
            <w:r w:rsidRPr="0025213A">
              <w:t>Settori economicamente dominanti</w:t>
            </w:r>
          </w:p>
        </w:tc>
        <w:tc>
          <w:tcPr>
            <w:tcW w:w="0" w:type="auto"/>
            <w:vAlign w:val="center"/>
            <w:hideMark/>
          </w:tcPr>
          <w:p w14:paraId="7459787A" w14:textId="77777777" w:rsidR="0025213A" w:rsidRPr="0025213A" w:rsidRDefault="0025213A" w:rsidP="0025213A">
            <w:r w:rsidRPr="0025213A">
              <w:t>Agricoltura, artigianato, edilizia</w:t>
            </w:r>
          </w:p>
        </w:tc>
        <w:tc>
          <w:tcPr>
            <w:tcW w:w="0" w:type="auto"/>
            <w:vAlign w:val="center"/>
            <w:hideMark/>
          </w:tcPr>
          <w:p w14:paraId="276FE099" w14:textId="77777777" w:rsidR="0025213A" w:rsidRPr="0025213A" w:rsidRDefault="0025213A" w:rsidP="0025213A">
            <w:r w:rsidRPr="0025213A">
              <w:t>Moderato (settori potenzialmente esposti a infiltrazioni)</w:t>
            </w:r>
          </w:p>
        </w:tc>
      </w:tr>
      <w:tr w:rsidR="0025213A" w:rsidRPr="0025213A" w14:paraId="724E5BD5" w14:textId="77777777">
        <w:trPr>
          <w:tblCellSpacing w:w="15" w:type="dxa"/>
        </w:trPr>
        <w:tc>
          <w:tcPr>
            <w:tcW w:w="0" w:type="auto"/>
            <w:vAlign w:val="center"/>
            <w:hideMark/>
          </w:tcPr>
          <w:p w14:paraId="75AF2DF9" w14:textId="77777777" w:rsidR="0025213A" w:rsidRPr="0025213A" w:rsidRDefault="0025213A" w:rsidP="0025213A">
            <w:r w:rsidRPr="0025213A">
              <w:t>Dinamismo del mercato degli appalti</w:t>
            </w:r>
          </w:p>
        </w:tc>
        <w:tc>
          <w:tcPr>
            <w:tcW w:w="0" w:type="auto"/>
            <w:vAlign w:val="center"/>
            <w:hideMark/>
          </w:tcPr>
          <w:p w14:paraId="5C839E6B" w14:textId="77777777" w:rsidR="0025213A" w:rsidRPr="0025213A" w:rsidRDefault="0025213A" w:rsidP="0025213A">
            <w:r w:rsidRPr="0025213A">
              <w:t>Medio-basso</w:t>
            </w:r>
          </w:p>
        </w:tc>
        <w:tc>
          <w:tcPr>
            <w:tcW w:w="0" w:type="auto"/>
            <w:vAlign w:val="center"/>
            <w:hideMark/>
          </w:tcPr>
          <w:p w14:paraId="40615D8A" w14:textId="77777777" w:rsidR="0025213A" w:rsidRPr="0025213A" w:rsidRDefault="0025213A" w:rsidP="0025213A">
            <w:r w:rsidRPr="0025213A">
              <w:t>Riduce il rischio ma aumenta il rischio di “dipendenza” da pochi fornitori</w:t>
            </w:r>
          </w:p>
        </w:tc>
      </w:tr>
      <w:tr w:rsidR="0025213A" w:rsidRPr="0025213A" w14:paraId="17D8FF61" w14:textId="77777777">
        <w:trPr>
          <w:tblCellSpacing w:w="15" w:type="dxa"/>
        </w:trPr>
        <w:tc>
          <w:tcPr>
            <w:tcW w:w="0" w:type="auto"/>
            <w:vAlign w:val="center"/>
            <w:hideMark/>
          </w:tcPr>
          <w:p w14:paraId="4325FF60" w14:textId="77777777" w:rsidR="0025213A" w:rsidRPr="0025213A" w:rsidRDefault="0025213A" w:rsidP="0025213A">
            <w:r w:rsidRPr="0025213A">
              <w:t>Presenza di infrastrutture strategiche</w:t>
            </w:r>
          </w:p>
        </w:tc>
        <w:tc>
          <w:tcPr>
            <w:tcW w:w="0" w:type="auto"/>
            <w:vAlign w:val="center"/>
            <w:hideMark/>
          </w:tcPr>
          <w:p w14:paraId="23C2EF9A" w14:textId="77777777" w:rsidR="0025213A" w:rsidRPr="0025213A" w:rsidRDefault="0025213A" w:rsidP="0025213A">
            <w:r w:rsidRPr="0025213A">
              <w:t>Limitata</w:t>
            </w:r>
          </w:p>
        </w:tc>
        <w:tc>
          <w:tcPr>
            <w:tcW w:w="0" w:type="auto"/>
            <w:vAlign w:val="center"/>
            <w:hideMark/>
          </w:tcPr>
          <w:p w14:paraId="086EA5BD" w14:textId="77777777" w:rsidR="0025213A" w:rsidRPr="0025213A" w:rsidRDefault="0025213A" w:rsidP="0025213A">
            <w:r w:rsidRPr="0025213A">
              <w:t>Basso</w:t>
            </w:r>
          </w:p>
        </w:tc>
      </w:tr>
      <w:tr w:rsidR="0025213A" w:rsidRPr="0025213A" w14:paraId="7AE491BB" w14:textId="77777777">
        <w:trPr>
          <w:tblCellSpacing w:w="15" w:type="dxa"/>
        </w:trPr>
        <w:tc>
          <w:tcPr>
            <w:tcW w:w="0" w:type="auto"/>
            <w:vAlign w:val="center"/>
            <w:hideMark/>
          </w:tcPr>
          <w:p w14:paraId="7AC9FD28" w14:textId="77777777" w:rsidR="0025213A" w:rsidRPr="0025213A" w:rsidRDefault="0025213A" w:rsidP="0025213A">
            <w:r w:rsidRPr="0025213A">
              <w:t>Rotazione del personale comunale</w:t>
            </w:r>
          </w:p>
        </w:tc>
        <w:tc>
          <w:tcPr>
            <w:tcW w:w="0" w:type="auto"/>
            <w:vAlign w:val="center"/>
            <w:hideMark/>
          </w:tcPr>
          <w:p w14:paraId="3201EE54" w14:textId="77777777" w:rsidR="0025213A" w:rsidRPr="0025213A" w:rsidRDefault="0025213A" w:rsidP="0025213A">
            <w:r w:rsidRPr="0025213A">
              <w:t>Ridotta (strutture piccole)</w:t>
            </w:r>
          </w:p>
        </w:tc>
        <w:tc>
          <w:tcPr>
            <w:tcW w:w="0" w:type="auto"/>
            <w:vAlign w:val="center"/>
            <w:hideMark/>
          </w:tcPr>
          <w:p w14:paraId="0F20DDAB" w14:textId="77777777" w:rsidR="0025213A" w:rsidRPr="0025213A" w:rsidRDefault="0025213A" w:rsidP="0025213A">
            <w:r w:rsidRPr="0025213A">
              <w:t>Moderata (limitata separazione delle funzioni)</w:t>
            </w:r>
          </w:p>
        </w:tc>
      </w:tr>
    </w:tbl>
    <w:p w14:paraId="5CFA56B3" w14:textId="77777777" w:rsidR="0025213A" w:rsidRDefault="0025213A" w:rsidP="00005402"/>
    <w:p w14:paraId="4708143F" w14:textId="74F8858D" w:rsidR="0025213A" w:rsidRDefault="0025213A" w:rsidP="00005402">
      <w:r>
        <w:lastRenderedPageBreak/>
        <w:t>Fattori territoriali che influenzano il rischio corruttivo:</w:t>
      </w:r>
    </w:p>
    <w:p w14:paraId="1073371C" w14:textId="77777777" w:rsidR="0025213A" w:rsidRDefault="0025213A" w:rsidP="00005402"/>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8"/>
        <w:gridCol w:w="1648"/>
        <w:gridCol w:w="3782"/>
      </w:tblGrid>
      <w:tr w:rsidR="0025213A" w:rsidRPr="0025213A" w14:paraId="03C3549F" w14:textId="77777777" w:rsidTr="0025213A">
        <w:trPr>
          <w:tblHeader/>
          <w:tblCellSpacing w:w="15" w:type="dxa"/>
        </w:trPr>
        <w:tc>
          <w:tcPr>
            <w:tcW w:w="4253" w:type="dxa"/>
            <w:vAlign w:val="center"/>
            <w:hideMark/>
          </w:tcPr>
          <w:p w14:paraId="0CF7A9E5" w14:textId="77777777" w:rsidR="0025213A" w:rsidRPr="0025213A" w:rsidRDefault="0025213A" w:rsidP="0025213A">
            <w:pPr>
              <w:rPr>
                <w:b/>
                <w:bCs/>
              </w:rPr>
            </w:pPr>
            <w:r w:rsidRPr="0025213A">
              <w:rPr>
                <w:b/>
                <w:bCs/>
              </w:rPr>
              <w:t>Fattore territoriale</w:t>
            </w:r>
          </w:p>
        </w:tc>
        <w:tc>
          <w:tcPr>
            <w:tcW w:w="1618" w:type="dxa"/>
            <w:vAlign w:val="center"/>
            <w:hideMark/>
          </w:tcPr>
          <w:p w14:paraId="143D61CD" w14:textId="77777777" w:rsidR="0025213A" w:rsidRPr="0025213A" w:rsidRDefault="0025213A" w:rsidP="0025213A">
            <w:pPr>
              <w:rPr>
                <w:b/>
                <w:bCs/>
              </w:rPr>
            </w:pPr>
            <w:r w:rsidRPr="0025213A">
              <w:rPr>
                <w:b/>
                <w:bCs/>
              </w:rPr>
              <w:t>Effetto atteso</w:t>
            </w:r>
          </w:p>
        </w:tc>
        <w:tc>
          <w:tcPr>
            <w:tcW w:w="0" w:type="auto"/>
            <w:vAlign w:val="center"/>
            <w:hideMark/>
          </w:tcPr>
          <w:p w14:paraId="11DDC460" w14:textId="77777777" w:rsidR="0025213A" w:rsidRPr="0025213A" w:rsidRDefault="0025213A" w:rsidP="0025213A">
            <w:pPr>
              <w:rPr>
                <w:b/>
                <w:bCs/>
              </w:rPr>
            </w:pPr>
            <w:r w:rsidRPr="0025213A">
              <w:rPr>
                <w:b/>
                <w:bCs/>
              </w:rPr>
              <w:t>Note</w:t>
            </w:r>
          </w:p>
        </w:tc>
      </w:tr>
      <w:tr w:rsidR="0025213A" w:rsidRPr="0025213A" w14:paraId="3A073978" w14:textId="77777777" w:rsidTr="0025213A">
        <w:trPr>
          <w:tblCellSpacing w:w="15" w:type="dxa"/>
        </w:trPr>
        <w:tc>
          <w:tcPr>
            <w:tcW w:w="4253" w:type="dxa"/>
            <w:vAlign w:val="center"/>
            <w:hideMark/>
          </w:tcPr>
          <w:p w14:paraId="7791FEA5" w14:textId="77777777" w:rsidR="0025213A" w:rsidRPr="0025213A" w:rsidRDefault="0025213A" w:rsidP="0025213A">
            <w:r w:rsidRPr="0025213A">
              <w:t>Vicinanza con poli produttivi di Cremona e Crema</w:t>
            </w:r>
          </w:p>
        </w:tc>
        <w:tc>
          <w:tcPr>
            <w:tcW w:w="1618" w:type="dxa"/>
            <w:vAlign w:val="center"/>
            <w:hideMark/>
          </w:tcPr>
          <w:p w14:paraId="36E30A8F" w14:textId="77777777" w:rsidR="0025213A" w:rsidRPr="0025213A" w:rsidRDefault="0025213A" w:rsidP="0025213A">
            <w:r w:rsidRPr="0025213A">
              <w:t>Moderato</w:t>
            </w:r>
          </w:p>
        </w:tc>
        <w:tc>
          <w:tcPr>
            <w:tcW w:w="0" w:type="auto"/>
            <w:vAlign w:val="center"/>
            <w:hideMark/>
          </w:tcPr>
          <w:p w14:paraId="3F18EB4A" w14:textId="77777777" w:rsidR="0025213A" w:rsidRPr="0025213A" w:rsidRDefault="0025213A" w:rsidP="0025213A">
            <w:r w:rsidRPr="0025213A">
              <w:t>Flussi economici più consistenti nelle aree limitrofe</w:t>
            </w:r>
          </w:p>
        </w:tc>
      </w:tr>
      <w:tr w:rsidR="0025213A" w:rsidRPr="0025213A" w14:paraId="6C65F737" w14:textId="77777777" w:rsidTr="0025213A">
        <w:trPr>
          <w:tblCellSpacing w:w="15" w:type="dxa"/>
        </w:trPr>
        <w:tc>
          <w:tcPr>
            <w:tcW w:w="4253" w:type="dxa"/>
            <w:vAlign w:val="center"/>
            <w:hideMark/>
          </w:tcPr>
          <w:p w14:paraId="4234844A" w14:textId="77777777" w:rsidR="0025213A" w:rsidRPr="0025213A" w:rsidRDefault="0025213A" w:rsidP="0025213A">
            <w:r w:rsidRPr="0025213A">
              <w:t>Presenza documentata di gruppi ’ndranghetisti nella provincia</w:t>
            </w:r>
          </w:p>
        </w:tc>
        <w:tc>
          <w:tcPr>
            <w:tcW w:w="1618" w:type="dxa"/>
            <w:vAlign w:val="center"/>
            <w:hideMark/>
          </w:tcPr>
          <w:p w14:paraId="73C3E099" w14:textId="77777777" w:rsidR="0025213A" w:rsidRPr="0025213A" w:rsidRDefault="0025213A" w:rsidP="0025213A">
            <w:r w:rsidRPr="0025213A">
              <w:t>Moderato</w:t>
            </w:r>
          </w:p>
        </w:tc>
        <w:tc>
          <w:tcPr>
            <w:tcW w:w="0" w:type="auto"/>
            <w:vAlign w:val="center"/>
            <w:hideMark/>
          </w:tcPr>
          <w:p w14:paraId="3C8C45FE" w14:textId="77777777" w:rsidR="0025213A" w:rsidRPr="0025213A" w:rsidRDefault="0025213A" w:rsidP="0025213A">
            <w:r w:rsidRPr="0025213A">
              <w:t>Rischio indiretto per appalti e subappalti</w:t>
            </w:r>
          </w:p>
        </w:tc>
      </w:tr>
      <w:tr w:rsidR="0025213A" w:rsidRPr="0025213A" w14:paraId="55A010F7" w14:textId="77777777" w:rsidTr="0025213A">
        <w:trPr>
          <w:tblCellSpacing w:w="15" w:type="dxa"/>
        </w:trPr>
        <w:tc>
          <w:tcPr>
            <w:tcW w:w="4253" w:type="dxa"/>
            <w:vAlign w:val="center"/>
            <w:hideMark/>
          </w:tcPr>
          <w:p w14:paraId="1EC9DFEF" w14:textId="77777777" w:rsidR="0025213A" w:rsidRPr="0025213A" w:rsidRDefault="0025213A" w:rsidP="0025213A">
            <w:r w:rsidRPr="0025213A">
              <w:t>Livello di criminalità generale della provincia</w:t>
            </w:r>
          </w:p>
        </w:tc>
        <w:tc>
          <w:tcPr>
            <w:tcW w:w="1618" w:type="dxa"/>
            <w:vAlign w:val="center"/>
            <w:hideMark/>
          </w:tcPr>
          <w:p w14:paraId="41A09D7B" w14:textId="77777777" w:rsidR="0025213A" w:rsidRPr="0025213A" w:rsidRDefault="0025213A" w:rsidP="0025213A">
            <w:r w:rsidRPr="0025213A">
              <w:t>Basso-Medio</w:t>
            </w:r>
          </w:p>
        </w:tc>
        <w:tc>
          <w:tcPr>
            <w:tcW w:w="0" w:type="auto"/>
            <w:vAlign w:val="center"/>
            <w:hideMark/>
          </w:tcPr>
          <w:p w14:paraId="49C6405D" w14:textId="77777777" w:rsidR="0025213A" w:rsidRPr="0025213A" w:rsidRDefault="0025213A" w:rsidP="0025213A">
            <w:r w:rsidRPr="0025213A">
              <w:t>Cremona al 79° posto su 106</w:t>
            </w:r>
          </w:p>
        </w:tc>
      </w:tr>
      <w:tr w:rsidR="0025213A" w:rsidRPr="0025213A" w14:paraId="12AF56E8" w14:textId="77777777" w:rsidTr="0025213A">
        <w:trPr>
          <w:tblCellSpacing w:w="15" w:type="dxa"/>
        </w:trPr>
        <w:tc>
          <w:tcPr>
            <w:tcW w:w="4253" w:type="dxa"/>
            <w:vAlign w:val="center"/>
            <w:hideMark/>
          </w:tcPr>
          <w:p w14:paraId="79C264D9" w14:textId="77777777" w:rsidR="0025213A" w:rsidRPr="0025213A" w:rsidRDefault="0025213A" w:rsidP="0025213A">
            <w:r w:rsidRPr="0025213A">
              <w:t>Controlli delle forze dell’ordine sul territorio</w:t>
            </w:r>
          </w:p>
        </w:tc>
        <w:tc>
          <w:tcPr>
            <w:tcW w:w="1618" w:type="dxa"/>
            <w:vAlign w:val="center"/>
            <w:hideMark/>
          </w:tcPr>
          <w:p w14:paraId="31A3D849" w14:textId="77777777" w:rsidR="0025213A" w:rsidRPr="0025213A" w:rsidRDefault="0025213A" w:rsidP="0025213A">
            <w:r w:rsidRPr="0025213A">
              <w:t>Basso rischio</w:t>
            </w:r>
          </w:p>
        </w:tc>
        <w:tc>
          <w:tcPr>
            <w:tcW w:w="0" w:type="auto"/>
            <w:vAlign w:val="center"/>
            <w:hideMark/>
          </w:tcPr>
          <w:p w14:paraId="75AD414E" w14:textId="77777777" w:rsidR="0025213A" w:rsidRPr="0025213A" w:rsidRDefault="0025213A" w:rsidP="0025213A">
            <w:r w:rsidRPr="0025213A">
              <w:t>Radi ma efficaci</w:t>
            </w:r>
          </w:p>
        </w:tc>
      </w:tr>
    </w:tbl>
    <w:p w14:paraId="78716E48" w14:textId="77777777" w:rsidR="0025213A" w:rsidRPr="00005402" w:rsidRDefault="0025213A" w:rsidP="00005402"/>
    <w:p w14:paraId="73A395B2" w14:textId="77777777" w:rsidR="00005402" w:rsidRPr="00005402" w:rsidRDefault="00005402" w:rsidP="00005402"/>
    <w:p w14:paraId="008D87A0" w14:textId="77777777" w:rsidR="00544A3E" w:rsidRDefault="00544A3E" w:rsidP="00544A3E">
      <w:r>
        <w:t>L’analisi del contesto esterno del Comune di Genivolta è finalizzata a individuare le principali caratteristiche sociali, economiche e territoriali del contesto comunale che possono incidere sull’esposizione dell’Ente ai rischi corruttivi, con particolare riferimento alle relazioni tra amministrazione, cittadini e operatori economici presenti sul territorio.</w:t>
      </w:r>
    </w:p>
    <w:p w14:paraId="5098C689" w14:textId="77777777" w:rsidR="00544A3E" w:rsidRDefault="00544A3E" w:rsidP="00544A3E"/>
    <w:p w14:paraId="18C31606" w14:textId="10056591" w:rsidR="00005402" w:rsidRDefault="00544A3E" w:rsidP="00544A3E">
      <w:r>
        <w:t>Il Comune di Genivolta si configura come una realtà territoriale e demografica di dimensioni contenute, caratterizzata da una comunità locale coesa e da relazioni interpersonali dirette e consolidate. Tale prossimità favorisce un rapporto immediato tra cittadini e amministrazione comunale, agevolando l’accesso ai servizi e la conoscenza dei bisogni del territorio. Tuttavia, in un contesto di questo tipo, assume particolare rilievo il rischio connesso a pressioni informali, aspettative di trattamenti preferenziali e difficoltà nel mantenere una netta separazione tra rapporti personali e funzioni pubbliche.</w:t>
      </w:r>
    </w:p>
    <w:p w14:paraId="7F793888" w14:textId="77777777" w:rsidR="00544A3E" w:rsidRDefault="00544A3E" w:rsidP="00544A3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9"/>
        <w:gridCol w:w="3399"/>
        <w:gridCol w:w="4140"/>
      </w:tblGrid>
      <w:tr w:rsidR="00544A3E" w:rsidRPr="00544A3E" w14:paraId="7E08670F" w14:textId="77777777">
        <w:trPr>
          <w:tblHeader/>
          <w:tblCellSpacing w:w="15" w:type="dxa"/>
        </w:trPr>
        <w:tc>
          <w:tcPr>
            <w:tcW w:w="0" w:type="auto"/>
            <w:vAlign w:val="center"/>
            <w:hideMark/>
          </w:tcPr>
          <w:p w14:paraId="74762804" w14:textId="77777777" w:rsidR="00544A3E" w:rsidRPr="00544A3E" w:rsidRDefault="00544A3E" w:rsidP="00544A3E">
            <w:pPr>
              <w:rPr>
                <w:b/>
                <w:bCs/>
              </w:rPr>
            </w:pPr>
            <w:r w:rsidRPr="00544A3E">
              <w:rPr>
                <w:b/>
                <w:bCs/>
              </w:rPr>
              <w:t>Elemento</w:t>
            </w:r>
          </w:p>
        </w:tc>
        <w:tc>
          <w:tcPr>
            <w:tcW w:w="0" w:type="auto"/>
            <w:vAlign w:val="center"/>
            <w:hideMark/>
          </w:tcPr>
          <w:p w14:paraId="73EA2A6B" w14:textId="77777777" w:rsidR="00544A3E" w:rsidRPr="00544A3E" w:rsidRDefault="00544A3E" w:rsidP="00544A3E">
            <w:pPr>
              <w:rPr>
                <w:b/>
                <w:bCs/>
              </w:rPr>
            </w:pPr>
            <w:r w:rsidRPr="00544A3E">
              <w:rPr>
                <w:b/>
                <w:bCs/>
              </w:rPr>
              <w:t>Caratteristiche del territorio comunale</w:t>
            </w:r>
          </w:p>
        </w:tc>
        <w:tc>
          <w:tcPr>
            <w:tcW w:w="0" w:type="auto"/>
            <w:vAlign w:val="center"/>
            <w:hideMark/>
          </w:tcPr>
          <w:p w14:paraId="796A4C92" w14:textId="77777777" w:rsidR="00544A3E" w:rsidRPr="00544A3E" w:rsidRDefault="00544A3E" w:rsidP="00544A3E">
            <w:pPr>
              <w:rPr>
                <w:b/>
                <w:bCs/>
              </w:rPr>
            </w:pPr>
            <w:r w:rsidRPr="00544A3E">
              <w:rPr>
                <w:b/>
                <w:bCs/>
              </w:rPr>
              <w:t>Rilevanza ai fini anticorruzione</w:t>
            </w:r>
          </w:p>
        </w:tc>
      </w:tr>
      <w:tr w:rsidR="00544A3E" w:rsidRPr="00544A3E" w14:paraId="4E00352F" w14:textId="77777777">
        <w:trPr>
          <w:tblCellSpacing w:w="15" w:type="dxa"/>
        </w:trPr>
        <w:tc>
          <w:tcPr>
            <w:tcW w:w="0" w:type="auto"/>
            <w:vAlign w:val="center"/>
            <w:hideMark/>
          </w:tcPr>
          <w:p w14:paraId="2366AB8E" w14:textId="77777777" w:rsidR="00544A3E" w:rsidRPr="00544A3E" w:rsidRDefault="00544A3E" w:rsidP="00544A3E">
            <w:r w:rsidRPr="00544A3E">
              <w:t>Dimensione demografica</w:t>
            </w:r>
          </w:p>
        </w:tc>
        <w:tc>
          <w:tcPr>
            <w:tcW w:w="0" w:type="auto"/>
            <w:vAlign w:val="center"/>
            <w:hideMark/>
          </w:tcPr>
          <w:p w14:paraId="34D018DD" w14:textId="77777777" w:rsidR="00544A3E" w:rsidRPr="00544A3E" w:rsidRDefault="00544A3E" w:rsidP="00544A3E">
            <w:r w:rsidRPr="00544A3E">
              <w:t>Comunità di piccole dimensioni</w:t>
            </w:r>
          </w:p>
        </w:tc>
        <w:tc>
          <w:tcPr>
            <w:tcW w:w="0" w:type="auto"/>
            <w:vAlign w:val="center"/>
            <w:hideMark/>
          </w:tcPr>
          <w:p w14:paraId="2E56AB8E" w14:textId="77777777" w:rsidR="00544A3E" w:rsidRPr="00544A3E" w:rsidRDefault="00544A3E" w:rsidP="00544A3E">
            <w:r w:rsidRPr="00544A3E">
              <w:t>Maggiore prossimità tra amministrazione e cittadini</w:t>
            </w:r>
          </w:p>
        </w:tc>
      </w:tr>
      <w:tr w:rsidR="00544A3E" w:rsidRPr="00544A3E" w14:paraId="02597136" w14:textId="77777777">
        <w:trPr>
          <w:tblCellSpacing w:w="15" w:type="dxa"/>
        </w:trPr>
        <w:tc>
          <w:tcPr>
            <w:tcW w:w="0" w:type="auto"/>
            <w:vAlign w:val="center"/>
            <w:hideMark/>
          </w:tcPr>
          <w:p w14:paraId="79053AAA" w14:textId="77777777" w:rsidR="00544A3E" w:rsidRPr="00544A3E" w:rsidRDefault="00544A3E" w:rsidP="00544A3E">
            <w:r w:rsidRPr="00544A3E">
              <w:t>Relazioni sociali</w:t>
            </w:r>
          </w:p>
        </w:tc>
        <w:tc>
          <w:tcPr>
            <w:tcW w:w="0" w:type="auto"/>
            <w:vAlign w:val="center"/>
            <w:hideMark/>
          </w:tcPr>
          <w:p w14:paraId="58A88FDB" w14:textId="77777777" w:rsidR="00544A3E" w:rsidRPr="00544A3E" w:rsidRDefault="00544A3E" w:rsidP="00544A3E">
            <w:r w:rsidRPr="00544A3E">
              <w:t>Rapporti diretti e consolidati</w:t>
            </w:r>
          </w:p>
        </w:tc>
        <w:tc>
          <w:tcPr>
            <w:tcW w:w="0" w:type="auto"/>
            <w:vAlign w:val="center"/>
            <w:hideMark/>
          </w:tcPr>
          <w:p w14:paraId="55A3A763" w14:textId="77777777" w:rsidR="00544A3E" w:rsidRPr="00544A3E" w:rsidRDefault="00544A3E" w:rsidP="00544A3E">
            <w:r w:rsidRPr="00544A3E">
              <w:t>Rischio di pressioni informali</w:t>
            </w:r>
          </w:p>
        </w:tc>
      </w:tr>
      <w:tr w:rsidR="00544A3E" w:rsidRPr="00544A3E" w14:paraId="50DE5681" w14:textId="77777777">
        <w:trPr>
          <w:tblCellSpacing w:w="15" w:type="dxa"/>
        </w:trPr>
        <w:tc>
          <w:tcPr>
            <w:tcW w:w="0" w:type="auto"/>
            <w:vAlign w:val="center"/>
            <w:hideMark/>
          </w:tcPr>
          <w:p w14:paraId="3C58DBD7" w14:textId="77777777" w:rsidR="00544A3E" w:rsidRPr="00544A3E" w:rsidRDefault="00544A3E" w:rsidP="00544A3E">
            <w:r w:rsidRPr="00544A3E">
              <w:t>Accesso agli uffici</w:t>
            </w:r>
          </w:p>
        </w:tc>
        <w:tc>
          <w:tcPr>
            <w:tcW w:w="0" w:type="auto"/>
            <w:vAlign w:val="center"/>
            <w:hideMark/>
          </w:tcPr>
          <w:p w14:paraId="37F69BED" w14:textId="77777777" w:rsidR="00544A3E" w:rsidRPr="00544A3E" w:rsidRDefault="00544A3E" w:rsidP="00544A3E">
            <w:r w:rsidRPr="00544A3E">
              <w:t>Contatto frequente e diretto con l’utenza</w:t>
            </w:r>
          </w:p>
        </w:tc>
        <w:tc>
          <w:tcPr>
            <w:tcW w:w="0" w:type="auto"/>
            <w:vAlign w:val="center"/>
            <w:hideMark/>
          </w:tcPr>
          <w:p w14:paraId="0AC8B542" w14:textId="77777777" w:rsidR="00544A3E" w:rsidRPr="00544A3E" w:rsidRDefault="00544A3E" w:rsidP="00544A3E">
            <w:r w:rsidRPr="00544A3E">
              <w:t>Necessità di criteri oggettivi e tracciabili</w:t>
            </w:r>
          </w:p>
        </w:tc>
      </w:tr>
      <w:tr w:rsidR="00544A3E" w:rsidRPr="00544A3E" w14:paraId="179E31AE" w14:textId="77777777">
        <w:trPr>
          <w:tblCellSpacing w:w="15" w:type="dxa"/>
        </w:trPr>
        <w:tc>
          <w:tcPr>
            <w:tcW w:w="0" w:type="auto"/>
            <w:vAlign w:val="center"/>
            <w:hideMark/>
          </w:tcPr>
          <w:p w14:paraId="7CA96F2C" w14:textId="77777777" w:rsidR="00544A3E" w:rsidRPr="00544A3E" w:rsidRDefault="00544A3E" w:rsidP="00544A3E">
            <w:r w:rsidRPr="00544A3E">
              <w:t>Conoscenza reciproca</w:t>
            </w:r>
          </w:p>
        </w:tc>
        <w:tc>
          <w:tcPr>
            <w:tcW w:w="0" w:type="auto"/>
            <w:vAlign w:val="center"/>
            <w:hideMark/>
          </w:tcPr>
          <w:p w14:paraId="0B1AE2CC" w14:textId="77777777" w:rsidR="00544A3E" w:rsidRPr="00544A3E" w:rsidRDefault="00544A3E" w:rsidP="00544A3E">
            <w:r w:rsidRPr="00544A3E">
              <w:t>Elevata tra cittadini e amministratori</w:t>
            </w:r>
          </w:p>
        </w:tc>
        <w:tc>
          <w:tcPr>
            <w:tcW w:w="0" w:type="auto"/>
            <w:vAlign w:val="center"/>
            <w:hideMark/>
          </w:tcPr>
          <w:p w14:paraId="217B70AC" w14:textId="77777777" w:rsidR="00544A3E" w:rsidRPr="00544A3E" w:rsidRDefault="00544A3E" w:rsidP="00544A3E">
            <w:r w:rsidRPr="00544A3E">
              <w:t>Attenzione ai conflitti di interesse</w:t>
            </w:r>
          </w:p>
        </w:tc>
      </w:tr>
    </w:tbl>
    <w:p w14:paraId="47E47F59" w14:textId="77777777" w:rsidR="00544A3E" w:rsidRDefault="00544A3E" w:rsidP="00544A3E"/>
    <w:p w14:paraId="2FD76EBD" w14:textId="0368D8DE" w:rsidR="00544A3E" w:rsidRDefault="00544A3E" w:rsidP="00544A3E">
      <w:r w:rsidRPr="00544A3E">
        <w:t xml:space="preserve">Il tessuto economico locale è prevalentemente composto da piccole e </w:t>
      </w:r>
      <w:proofErr w:type="gramStart"/>
      <w:r w:rsidRPr="00544A3E">
        <w:t>micro imprese</w:t>
      </w:r>
      <w:proofErr w:type="gramEnd"/>
      <w:r w:rsidRPr="00544A3E">
        <w:t>, spesso a conduzione familiare, operanti nei settori agricolo, artigianale e dei servizi. Gli operatori economici che interagiscono con il Comune sono numericamente limitati e, in molti casi, operano stabilmente sul territorio, partecipando in modo ricorrente alle procedure di affidamento di lavori, servizi e forniture di importo contenuto.</w:t>
      </w:r>
    </w:p>
    <w:p w14:paraId="2AB8067C" w14:textId="77777777" w:rsidR="00544A3E" w:rsidRDefault="00544A3E" w:rsidP="00544A3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4"/>
        <w:gridCol w:w="4038"/>
        <w:gridCol w:w="3666"/>
      </w:tblGrid>
      <w:tr w:rsidR="00544A3E" w:rsidRPr="00544A3E" w14:paraId="394BC6C0" w14:textId="77777777">
        <w:trPr>
          <w:tblHeader/>
          <w:tblCellSpacing w:w="15" w:type="dxa"/>
        </w:trPr>
        <w:tc>
          <w:tcPr>
            <w:tcW w:w="0" w:type="auto"/>
            <w:vAlign w:val="center"/>
            <w:hideMark/>
          </w:tcPr>
          <w:p w14:paraId="52AF2A3F" w14:textId="77777777" w:rsidR="00544A3E" w:rsidRPr="00544A3E" w:rsidRDefault="00544A3E" w:rsidP="00544A3E">
            <w:pPr>
              <w:rPr>
                <w:b/>
                <w:bCs/>
              </w:rPr>
            </w:pPr>
            <w:r w:rsidRPr="00544A3E">
              <w:rPr>
                <w:b/>
                <w:bCs/>
              </w:rPr>
              <w:t>Ambito</w:t>
            </w:r>
          </w:p>
        </w:tc>
        <w:tc>
          <w:tcPr>
            <w:tcW w:w="0" w:type="auto"/>
            <w:vAlign w:val="center"/>
            <w:hideMark/>
          </w:tcPr>
          <w:p w14:paraId="24F49D49" w14:textId="77777777" w:rsidR="00544A3E" w:rsidRPr="00544A3E" w:rsidRDefault="00544A3E" w:rsidP="00544A3E">
            <w:pPr>
              <w:rPr>
                <w:b/>
                <w:bCs/>
              </w:rPr>
            </w:pPr>
            <w:r w:rsidRPr="00544A3E">
              <w:rPr>
                <w:b/>
                <w:bCs/>
              </w:rPr>
              <w:t>Situazione a Genivolta</w:t>
            </w:r>
          </w:p>
        </w:tc>
        <w:tc>
          <w:tcPr>
            <w:tcW w:w="0" w:type="auto"/>
            <w:vAlign w:val="center"/>
            <w:hideMark/>
          </w:tcPr>
          <w:p w14:paraId="5742D0A9" w14:textId="77777777" w:rsidR="00544A3E" w:rsidRPr="00544A3E" w:rsidRDefault="00544A3E" w:rsidP="00544A3E">
            <w:pPr>
              <w:rPr>
                <w:b/>
                <w:bCs/>
              </w:rPr>
            </w:pPr>
            <w:r w:rsidRPr="00544A3E">
              <w:rPr>
                <w:b/>
                <w:bCs/>
              </w:rPr>
              <w:t>Profili di attenzione</w:t>
            </w:r>
          </w:p>
        </w:tc>
      </w:tr>
      <w:tr w:rsidR="00544A3E" w:rsidRPr="00544A3E" w14:paraId="0F97C88C" w14:textId="77777777">
        <w:trPr>
          <w:tblCellSpacing w:w="15" w:type="dxa"/>
        </w:trPr>
        <w:tc>
          <w:tcPr>
            <w:tcW w:w="0" w:type="auto"/>
            <w:vAlign w:val="center"/>
            <w:hideMark/>
          </w:tcPr>
          <w:p w14:paraId="2B14880C" w14:textId="77777777" w:rsidR="00544A3E" w:rsidRPr="00544A3E" w:rsidRDefault="00544A3E" w:rsidP="00544A3E">
            <w:r w:rsidRPr="00544A3E">
              <w:t>Tessuto produttivo</w:t>
            </w:r>
          </w:p>
        </w:tc>
        <w:tc>
          <w:tcPr>
            <w:tcW w:w="0" w:type="auto"/>
            <w:vAlign w:val="center"/>
            <w:hideMark/>
          </w:tcPr>
          <w:p w14:paraId="4DB3F519" w14:textId="77777777" w:rsidR="00544A3E" w:rsidRPr="00544A3E" w:rsidRDefault="00544A3E" w:rsidP="00544A3E">
            <w:r w:rsidRPr="00544A3E">
              <w:t>Prevalenza di micro e piccole imprese locali</w:t>
            </w:r>
          </w:p>
        </w:tc>
        <w:tc>
          <w:tcPr>
            <w:tcW w:w="0" w:type="auto"/>
            <w:vAlign w:val="center"/>
            <w:hideMark/>
          </w:tcPr>
          <w:p w14:paraId="0BCE9787" w14:textId="77777777" w:rsidR="00544A3E" w:rsidRPr="00544A3E" w:rsidRDefault="00544A3E" w:rsidP="00544A3E">
            <w:r w:rsidRPr="00544A3E">
              <w:t>Limitata concorrenza potenziale</w:t>
            </w:r>
          </w:p>
        </w:tc>
      </w:tr>
      <w:tr w:rsidR="00544A3E" w:rsidRPr="00544A3E" w14:paraId="02496790" w14:textId="77777777">
        <w:trPr>
          <w:tblCellSpacing w:w="15" w:type="dxa"/>
        </w:trPr>
        <w:tc>
          <w:tcPr>
            <w:tcW w:w="0" w:type="auto"/>
            <w:vAlign w:val="center"/>
            <w:hideMark/>
          </w:tcPr>
          <w:p w14:paraId="4CF566AB" w14:textId="77777777" w:rsidR="00544A3E" w:rsidRPr="00544A3E" w:rsidRDefault="00544A3E" w:rsidP="00544A3E">
            <w:r w:rsidRPr="00544A3E">
              <w:t>Affidamenti comunali</w:t>
            </w:r>
          </w:p>
        </w:tc>
        <w:tc>
          <w:tcPr>
            <w:tcW w:w="0" w:type="auto"/>
            <w:vAlign w:val="center"/>
            <w:hideMark/>
          </w:tcPr>
          <w:p w14:paraId="7D7096B8" w14:textId="77777777" w:rsidR="00544A3E" w:rsidRPr="00544A3E" w:rsidRDefault="00544A3E" w:rsidP="00544A3E">
            <w:r w:rsidRPr="00544A3E">
              <w:t>Importi generalmente modesti</w:t>
            </w:r>
          </w:p>
        </w:tc>
        <w:tc>
          <w:tcPr>
            <w:tcW w:w="0" w:type="auto"/>
            <w:vAlign w:val="center"/>
            <w:hideMark/>
          </w:tcPr>
          <w:p w14:paraId="6353008F" w14:textId="77777777" w:rsidR="00544A3E" w:rsidRPr="00544A3E" w:rsidRDefault="00544A3E" w:rsidP="00544A3E">
            <w:r w:rsidRPr="00544A3E">
              <w:t>Rischio di reiterazione degli affidamenti</w:t>
            </w:r>
          </w:p>
        </w:tc>
      </w:tr>
      <w:tr w:rsidR="00544A3E" w:rsidRPr="00544A3E" w14:paraId="46215D5D" w14:textId="77777777">
        <w:trPr>
          <w:tblCellSpacing w:w="15" w:type="dxa"/>
        </w:trPr>
        <w:tc>
          <w:tcPr>
            <w:tcW w:w="0" w:type="auto"/>
            <w:vAlign w:val="center"/>
            <w:hideMark/>
          </w:tcPr>
          <w:p w14:paraId="5516AB38" w14:textId="77777777" w:rsidR="00544A3E" w:rsidRPr="00544A3E" w:rsidRDefault="00544A3E" w:rsidP="00544A3E">
            <w:r w:rsidRPr="00544A3E">
              <w:t>Operatori economici</w:t>
            </w:r>
          </w:p>
        </w:tc>
        <w:tc>
          <w:tcPr>
            <w:tcW w:w="0" w:type="auto"/>
            <w:vAlign w:val="center"/>
            <w:hideMark/>
          </w:tcPr>
          <w:p w14:paraId="61B36E1E" w14:textId="77777777" w:rsidR="00544A3E" w:rsidRPr="00544A3E" w:rsidRDefault="00544A3E" w:rsidP="00544A3E">
            <w:r w:rsidRPr="00544A3E">
              <w:t>Platea ristretta</w:t>
            </w:r>
          </w:p>
        </w:tc>
        <w:tc>
          <w:tcPr>
            <w:tcW w:w="0" w:type="auto"/>
            <w:vAlign w:val="center"/>
            <w:hideMark/>
          </w:tcPr>
          <w:p w14:paraId="3B945F86" w14:textId="77777777" w:rsidR="00544A3E" w:rsidRPr="00544A3E" w:rsidRDefault="00544A3E" w:rsidP="00544A3E">
            <w:r w:rsidRPr="00544A3E">
              <w:t>Necessità di rotazione e trasparenza</w:t>
            </w:r>
          </w:p>
        </w:tc>
      </w:tr>
      <w:tr w:rsidR="00544A3E" w:rsidRPr="00544A3E" w14:paraId="4A6C3106" w14:textId="77777777">
        <w:trPr>
          <w:tblCellSpacing w:w="15" w:type="dxa"/>
        </w:trPr>
        <w:tc>
          <w:tcPr>
            <w:tcW w:w="0" w:type="auto"/>
            <w:vAlign w:val="center"/>
            <w:hideMark/>
          </w:tcPr>
          <w:p w14:paraId="09078FC8" w14:textId="77777777" w:rsidR="00544A3E" w:rsidRPr="00544A3E" w:rsidRDefault="00544A3E" w:rsidP="00544A3E">
            <w:r w:rsidRPr="00544A3E">
              <w:t>Rapporti con l’Ente</w:t>
            </w:r>
          </w:p>
        </w:tc>
        <w:tc>
          <w:tcPr>
            <w:tcW w:w="0" w:type="auto"/>
            <w:vAlign w:val="center"/>
            <w:hideMark/>
          </w:tcPr>
          <w:p w14:paraId="02239AB7" w14:textId="77777777" w:rsidR="00544A3E" w:rsidRPr="00544A3E" w:rsidRDefault="00544A3E" w:rsidP="00544A3E">
            <w:r w:rsidRPr="00544A3E">
              <w:t>Frequenza elevata</w:t>
            </w:r>
          </w:p>
        </w:tc>
        <w:tc>
          <w:tcPr>
            <w:tcW w:w="0" w:type="auto"/>
            <w:vAlign w:val="center"/>
            <w:hideMark/>
          </w:tcPr>
          <w:p w14:paraId="2AF314A8" w14:textId="77777777" w:rsidR="00544A3E" w:rsidRPr="00544A3E" w:rsidRDefault="00544A3E" w:rsidP="00544A3E">
            <w:r w:rsidRPr="00544A3E">
              <w:t>Rafforzamento della tracciabilità</w:t>
            </w:r>
          </w:p>
        </w:tc>
      </w:tr>
    </w:tbl>
    <w:p w14:paraId="7FAD8F95" w14:textId="77777777" w:rsidR="00544A3E" w:rsidRDefault="00544A3E" w:rsidP="00544A3E"/>
    <w:p w14:paraId="0270C20C" w14:textId="77777777" w:rsidR="00544A3E" w:rsidRPr="00544A3E" w:rsidRDefault="00544A3E" w:rsidP="00544A3E">
      <w:r w:rsidRPr="00544A3E">
        <w:t xml:space="preserve">Dal punto di vista urbanistico </w:t>
      </w:r>
      <w:proofErr w:type="gramStart"/>
      <w:r w:rsidRPr="00544A3E">
        <w:t>ed</w:t>
      </w:r>
      <w:proofErr w:type="gramEnd"/>
      <w:r w:rsidRPr="00544A3E">
        <w:t xml:space="preserve"> edilizio, il territorio comunale è interessato prevalentemente da interventi di modesta entità, riconducibili alla manutenzione del patrimonio edilizio esistente o a </w:t>
      </w:r>
      <w:r w:rsidRPr="00544A3E">
        <w:lastRenderedPageBreak/>
        <w:t>limitate trasformazioni urbanistiche. Nonostante la ridotta complessità degli interventi, i procedimenti in materia di edilizia privata e autorizzazioni rappresentano ambiti sensibili, soprattutto in un contesto caratterizzato da relazioni personali dirette tra richiedenti e amministrazione.</w:t>
      </w:r>
    </w:p>
    <w:p w14:paraId="3AD0F08B" w14:textId="77777777" w:rsidR="00544A3E" w:rsidRPr="00544A3E" w:rsidRDefault="00544A3E" w:rsidP="00544A3E">
      <w:r w:rsidRPr="00544A3E">
        <w:t>La domanda di servizi comunali è concentrata su settori essenziali quali i servizi demografici, sociali e manutentivi. In tali ambiti, la frequenza del contatto diretto con i cittadini rende particolarmente importante garantire criteri chiari, pubblici e verificabili nell’erogazione dei servizi e nella concessione di benefici economici, al fine di prevenire trattamenti differenziati non giustificati.</w:t>
      </w:r>
    </w:p>
    <w:p w14:paraId="7CA8E873" w14:textId="77777777" w:rsidR="00544A3E" w:rsidRPr="00544A3E" w:rsidRDefault="00544A3E" w:rsidP="00544A3E">
      <w:r w:rsidRPr="00544A3E">
        <w:t>Nel territorio comunale non si rilevano fenomeni strutturati di criminalità organizzata radicata. Ciò non esclude, tuttavia, la necessità di mantenere adeguati presìdi di legalità, in linea con le indicazioni ANAC, anche in contesti territoriali di ridotte dimensioni, dove il rischio corruttivo può manifestarsi in forme meno visibili ma altrettanto rilevanti.</w:t>
      </w:r>
    </w:p>
    <w:p w14:paraId="03D69B96" w14:textId="77777777" w:rsidR="00544A3E" w:rsidRDefault="00544A3E" w:rsidP="00544A3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4160"/>
      </w:tblGrid>
      <w:tr w:rsidR="00544A3E" w:rsidRPr="00544A3E" w14:paraId="2BF9E1E6" w14:textId="77777777">
        <w:trPr>
          <w:tblHeader/>
          <w:tblCellSpacing w:w="15" w:type="dxa"/>
        </w:trPr>
        <w:tc>
          <w:tcPr>
            <w:tcW w:w="0" w:type="auto"/>
            <w:vAlign w:val="center"/>
            <w:hideMark/>
          </w:tcPr>
          <w:p w14:paraId="7B4041A1" w14:textId="77777777" w:rsidR="00544A3E" w:rsidRPr="00544A3E" w:rsidRDefault="00544A3E" w:rsidP="00544A3E">
            <w:pPr>
              <w:rPr>
                <w:b/>
                <w:bCs/>
              </w:rPr>
            </w:pPr>
            <w:r w:rsidRPr="00544A3E">
              <w:rPr>
                <w:b/>
                <w:bCs/>
              </w:rPr>
              <w:t>Il territorio di Genivolta</w:t>
            </w:r>
          </w:p>
        </w:tc>
        <w:tc>
          <w:tcPr>
            <w:tcW w:w="0" w:type="auto"/>
            <w:vAlign w:val="center"/>
            <w:hideMark/>
          </w:tcPr>
          <w:p w14:paraId="6B22AAA8" w14:textId="77777777" w:rsidR="00544A3E" w:rsidRPr="00544A3E" w:rsidRDefault="00544A3E" w:rsidP="00544A3E">
            <w:pPr>
              <w:rPr>
                <w:b/>
                <w:bCs/>
              </w:rPr>
            </w:pPr>
            <w:r w:rsidRPr="00544A3E">
              <w:rPr>
                <w:b/>
                <w:bCs/>
              </w:rPr>
              <w:t>Cosa significa per il Comune</w:t>
            </w:r>
          </w:p>
        </w:tc>
      </w:tr>
      <w:tr w:rsidR="00544A3E" w:rsidRPr="00544A3E" w14:paraId="16A06D93" w14:textId="77777777">
        <w:trPr>
          <w:tblCellSpacing w:w="15" w:type="dxa"/>
        </w:trPr>
        <w:tc>
          <w:tcPr>
            <w:tcW w:w="0" w:type="auto"/>
            <w:vAlign w:val="center"/>
            <w:hideMark/>
          </w:tcPr>
          <w:p w14:paraId="2C5BF991" w14:textId="77777777" w:rsidR="00544A3E" w:rsidRPr="00544A3E" w:rsidRDefault="00544A3E" w:rsidP="00544A3E">
            <w:r w:rsidRPr="00544A3E">
              <w:t>Comunità piccola e coesa</w:t>
            </w:r>
          </w:p>
        </w:tc>
        <w:tc>
          <w:tcPr>
            <w:tcW w:w="0" w:type="auto"/>
            <w:vAlign w:val="center"/>
            <w:hideMark/>
          </w:tcPr>
          <w:p w14:paraId="5F81EE50" w14:textId="77777777" w:rsidR="00544A3E" w:rsidRPr="00544A3E" w:rsidRDefault="00544A3E" w:rsidP="00544A3E">
            <w:r w:rsidRPr="00544A3E">
              <w:t>Rapporti diretti e frequenti con i cittadini</w:t>
            </w:r>
          </w:p>
        </w:tc>
      </w:tr>
      <w:tr w:rsidR="00544A3E" w:rsidRPr="00544A3E" w14:paraId="57C0CC84" w14:textId="77777777">
        <w:trPr>
          <w:tblCellSpacing w:w="15" w:type="dxa"/>
        </w:trPr>
        <w:tc>
          <w:tcPr>
            <w:tcW w:w="0" w:type="auto"/>
            <w:vAlign w:val="center"/>
            <w:hideMark/>
          </w:tcPr>
          <w:p w14:paraId="23985335" w14:textId="77777777" w:rsidR="00544A3E" w:rsidRPr="00544A3E" w:rsidRDefault="00544A3E" w:rsidP="00544A3E">
            <w:r w:rsidRPr="00544A3E">
              <w:t>Poche imprese locali</w:t>
            </w:r>
          </w:p>
        </w:tc>
        <w:tc>
          <w:tcPr>
            <w:tcW w:w="0" w:type="auto"/>
            <w:vAlign w:val="center"/>
            <w:hideMark/>
          </w:tcPr>
          <w:p w14:paraId="25BCD193" w14:textId="77777777" w:rsidR="00544A3E" w:rsidRPr="00544A3E" w:rsidRDefault="00544A3E" w:rsidP="00544A3E">
            <w:r w:rsidRPr="00544A3E">
              <w:t>Necessità di trasparenza negli affidamenti</w:t>
            </w:r>
          </w:p>
        </w:tc>
      </w:tr>
      <w:tr w:rsidR="00544A3E" w:rsidRPr="00544A3E" w14:paraId="47507E26" w14:textId="77777777">
        <w:trPr>
          <w:tblCellSpacing w:w="15" w:type="dxa"/>
        </w:trPr>
        <w:tc>
          <w:tcPr>
            <w:tcW w:w="0" w:type="auto"/>
            <w:vAlign w:val="center"/>
            <w:hideMark/>
          </w:tcPr>
          <w:p w14:paraId="1A72D52C" w14:textId="77777777" w:rsidR="00544A3E" w:rsidRPr="00544A3E" w:rsidRDefault="00544A3E" w:rsidP="00544A3E">
            <w:r w:rsidRPr="00544A3E">
              <w:t>Interventi edilizi limitati</w:t>
            </w:r>
          </w:p>
        </w:tc>
        <w:tc>
          <w:tcPr>
            <w:tcW w:w="0" w:type="auto"/>
            <w:vAlign w:val="center"/>
            <w:hideMark/>
          </w:tcPr>
          <w:p w14:paraId="4268BE12" w14:textId="77777777" w:rsidR="00544A3E" w:rsidRPr="00544A3E" w:rsidRDefault="00544A3E" w:rsidP="00544A3E">
            <w:r w:rsidRPr="00544A3E">
              <w:t>Attenzione alle autorizzazioni</w:t>
            </w:r>
          </w:p>
        </w:tc>
      </w:tr>
      <w:tr w:rsidR="00544A3E" w:rsidRPr="00544A3E" w14:paraId="649248D2" w14:textId="77777777">
        <w:trPr>
          <w:tblCellSpacing w:w="15" w:type="dxa"/>
        </w:trPr>
        <w:tc>
          <w:tcPr>
            <w:tcW w:w="0" w:type="auto"/>
            <w:vAlign w:val="center"/>
            <w:hideMark/>
          </w:tcPr>
          <w:p w14:paraId="760447D3" w14:textId="77777777" w:rsidR="00544A3E" w:rsidRPr="00544A3E" w:rsidRDefault="00544A3E" w:rsidP="00544A3E">
            <w:r w:rsidRPr="00544A3E">
              <w:t>Contatto diretto con gli uffici</w:t>
            </w:r>
          </w:p>
        </w:tc>
        <w:tc>
          <w:tcPr>
            <w:tcW w:w="0" w:type="auto"/>
            <w:vAlign w:val="center"/>
            <w:hideMark/>
          </w:tcPr>
          <w:p w14:paraId="1D44698F" w14:textId="77777777" w:rsidR="00544A3E" w:rsidRPr="00544A3E" w:rsidRDefault="00544A3E" w:rsidP="00544A3E">
            <w:r w:rsidRPr="00544A3E">
              <w:t>Importanza di regole uguali per tutti</w:t>
            </w:r>
          </w:p>
        </w:tc>
      </w:tr>
      <w:tr w:rsidR="00544A3E" w:rsidRPr="00544A3E" w14:paraId="256ECA38" w14:textId="77777777">
        <w:trPr>
          <w:tblCellSpacing w:w="15" w:type="dxa"/>
        </w:trPr>
        <w:tc>
          <w:tcPr>
            <w:tcW w:w="0" w:type="auto"/>
            <w:vAlign w:val="center"/>
            <w:hideMark/>
          </w:tcPr>
          <w:p w14:paraId="5B009121" w14:textId="77777777" w:rsidR="00544A3E" w:rsidRPr="00544A3E" w:rsidRDefault="00544A3E" w:rsidP="00544A3E">
            <w:r w:rsidRPr="00544A3E">
              <w:t>Assenza di criminalità organizzata</w:t>
            </w:r>
          </w:p>
        </w:tc>
        <w:tc>
          <w:tcPr>
            <w:tcW w:w="0" w:type="auto"/>
            <w:vAlign w:val="center"/>
            <w:hideMark/>
          </w:tcPr>
          <w:p w14:paraId="3FCC8DF5" w14:textId="77777777" w:rsidR="00544A3E" w:rsidRPr="00544A3E" w:rsidRDefault="00544A3E" w:rsidP="00544A3E">
            <w:r w:rsidRPr="00544A3E">
              <w:t>Presidio costante della legalità</w:t>
            </w:r>
          </w:p>
        </w:tc>
      </w:tr>
    </w:tbl>
    <w:p w14:paraId="1E547667" w14:textId="77777777" w:rsidR="00544A3E" w:rsidRPr="00544A3E" w:rsidRDefault="00544A3E" w:rsidP="00544A3E"/>
    <w:p w14:paraId="6A3D36DD" w14:textId="0E6CB7A1" w:rsidR="0025213A" w:rsidRPr="00544A3E" w:rsidRDefault="0025213A" w:rsidP="0025213A">
      <w:r w:rsidRPr="00544A3E">
        <w:t xml:space="preserve">Griglia di vulnerabilità del Comune di </w:t>
      </w:r>
      <w:r w:rsidR="00A42C41" w:rsidRPr="00544A3E">
        <w:t>Genivolta</w:t>
      </w:r>
      <w:r w:rsidRPr="00544A3E">
        <w:t xml:space="preserve"> rispetto al contesto esterno:</w:t>
      </w:r>
    </w:p>
    <w:p w14:paraId="7ED165D8" w14:textId="77777777" w:rsidR="00544A3E" w:rsidRPr="00544A3E" w:rsidRDefault="00544A3E" w:rsidP="0025213A"/>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66"/>
        <w:gridCol w:w="2359"/>
        <w:gridCol w:w="2782"/>
        <w:gridCol w:w="2921"/>
      </w:tblGrid>
      <w:tr w:rsidR="00544A3E" w:rsidRPr="00544A3E" w14:paraId="7EC3B999" w14:textId="77777777" w:rsidTr="007C762C">
        <w:trPr>
          <w:tblHeader/>
          <w:tblCellSpacing w:w="15" w:type="dxa"/>
          <w:jc w:val="center"/>
        </w:trPr>
        <w:tc>
          <w:tcPr>
            <w:tcW w:w="0" w:type="auto"/>
            <w:vAlign w:val="center"/>
            <w:hideMark/>
          </w:tcPr>
          <w:p w14:paraId="5E41B8A0" w14:textId="77777777" w:rsidR="00544A3E" w:rsidRPr="00544A3E" w:rsidRDefault="00544A3E" w:rsidP="00544A3E">
            <w:pPr>
              <w:pStyle w:val="Corpotesto"/>
              <w:jc w:val="both"/>
              <w:rPr>
                <w:b/>
                <w:bCs/>
              </w:rPr>
            </w:pPr>
            <w:r w:rsidRPr="00544A3E">
              <w:rPr>
                <w:b/>
                <w:bCs/>
              </w:rPr>
              <w:t>Fattore esterno</w:t>
            </w:r>
          </w:p>
        </w:tc>
        <w:tc>
          <w:tcPr>
            <w:tcW w:w="0" w:type="auto"/>
            <w:vAlign w:val="center"/>
            <w:hideMark/>
          </w:tcPr>
          <w:p w14:paraId="1A54BB8D" w14:textId="77777777" w:rsidR="00544A3E" w:rsidRPr="00544A3E" w:rsidRDefault="00544A3E" w:rsidP="00544A3E">
            <w:pPr>
              <w:pStyle w:val="Corpotesto"/>
              <w:jc w:val="both"/>
              <w:rPr>
                <w:b/>
                <w:bCs/>
              </w:rPr>
            </w:pPr>
            <w:r w:rsidRPr="00544A3E">
              <w:rPr>
                <w:b/>
                <w:bCs/>
              </w:rPr>
              <w:t>Descrizione</w:t>
            </w:r>
          </w:p>
        </w:tc>
        <w:tc>
          <w:tcPr>
            <w:tcW w:w="0" w:type="auto"/>
            <w:vAlign w:val="center"/>
            <w:hideMark/>
          </w:tcPr>
          <w:p w14:paraId="3FABD981" w14:textId="77777777" w:rsidR="00544A3E" w:rsidRPr="00544A3E" w:rsidRDefault="00544A3E" w:rsidP="00544A3E">
            <w:pPr>
              <w:pStyle w:val="Corpotesto"/>
              <w:jc w:val="both"/>
              <w:rPr>
                <w:b/>
                <w:bCs/>
              </w:rPr>
            </w:pPr>
            <w:r w:rsidRPr="00544A3E">
              <w:rPr>
                <w:b/>
                <w:bCs/>
              </w:rPr>
              <w:t>Profilo di vulnerabilità</w:t>
            </w:r>
          </w:p>
        </w:tc>
        <w:tc>
          <w:tcPr>
            <w:tcW w:w="0" w:type="auto"/>
            <w:vAlign w:val="center"/>
            <w:hideMark/>
          </w:tcPr>
          <w:p w14:paraId="3EC3F611" w14:textId="77777777" w:rsidR="00544A3E" w:rsidRPr="00544A3E" w:rsidRDefault="00544A3E" w:rsidP="00544A3E">
            <w:pPr>
              <w:pStyle w:val="Corpotesto"/>
              <w:jc w:val="both"/>
              <w:rPr>
                <w:b/>
                <w:bCs/>
              </w:rPr>
            </w:pPr>
            <w:r w:rsidRPr="00544A3E">
              <w:rPr>
                <w:b/>
                <w:bCs/>
              </w:rPr>
              <w:t>Implicazioni per il Comune</w:t>
            </w:r>
          </w:p>
        </w:tc>
      </w:tr>
      <w:tr w:rsidR="00544A3E" w:rsidRPr="00544A3E" w14:paraId="6F0958EA" w14:textId="77777777" w:rsidTr="007C762C">
        <w:trPr>
          <w:tblCellSpacing w:w="15" w:type="dxa"/>
          <w:jc w:val="center"/>
        </w:trPr>
        <w:tc>
          <w:tcPr>
            <w:tcW w:w="0" w:type="auto"/>
            <w:vAlign w:val="center"/>
            <w:hideMark/>
          </w:tcPr>
          <w:p w14:paraId="35B4111A" w14:textId="77777777" w:rsidR="00544A3E" w:rsidRPr="00544A3E" w:rsidRDefault="00544A3E" w:rsidP="00544A3E">
            <w:pPr>
              <w:pStyle w:val="Corpotesto"/>
              <w:jc w:val="both"/>
            </w:pPr>
            <w:r w:rsidRPr="00544A3E">
              <w:t>Comunità di piccole dimensioni</w:t>
            </w:r>
          </w:p>
        </w:tc>
        <w:tc>
          <w:tcPr>
            <w:tcW w:w="0" w:type="auto"/>
            <w:vAlign w:val="center"/>
            <w:hideMark/>
          </w:tcPr>
          <w:p w14:paraId="5800E949" w14:textId="77777777" w:rsidR="00544A3E" w:rsidRPr="00544A3E" w:rsidRDefault="00544A3E" w:rsidP="00544A3E">
            <w:pPr>
              <w:pStyle w:val="Corpotesto"/>
              <w:jc w:val="both"/>
            </w:pPr>
            <w:r w:rsidRPr="00544A3E">
              <w:t>Popolazione ridotta, relazioni personali consolidate</w:t>
            </w:r>
          </w:p>
        </w:tc>
        <w:tc>
          <w:tcPr>
            <w:tcW w:w="0" w:type="auto"/>
            <w:vAlign w:val="center"/>
            <w:hideMark/>
          </w:tcPr>
          <w:p w14:paraId="3602835E" w14:textId="77777777" w:rsidR="00544A3E" w:rsidRPr="00544A3E" w:rsidRDefault="00544A3E" w:rsidP="00544A3E">
            <w:pPr>
              <w:pStyle w:val="Corpotesto"/>
              <w:jc w:val="both"/>
            </w:pPr>
            <w:r w:rsidRPr="00544A3E">
              <w:t>Rischio di pressioni informali e aspettative di favoritismi</w:t>
            </w:r>
          </w:p>
        </w:tc>
        <w:tc>
          <w:tcPr>
            <w:tcW w:w="0" w:type="auto"/>
            <w:vAlign w:val="center"/>
            <w:hideMark/>
          </w:tcPr>
          <w:p w14:paraId="19766B91" w14:textId="77777777" w:rsidR="00544A3E" w:rsidRPr="00544A3E" w:rsidRDefault="00544A3E" w:rsidP="00544A3E">
            <w:pPr>
              <w:pStyle w:val="Corpotesto"/>
              <w:jc w:val="both"/>
            </w:pPr>
            <w:r w:rsidRPr="00544A3E">
              <w:t>Necessità di formalizzare le procedure e tracciabilità degli atti</w:t>
            </w:r>
          </w:p>
        </w:tc>
      </w:tr>
      <w:tr w:rsidR="00544A3E" w:rsidRPr="00544A3E" w14:paraId="3F265EA0" w14:textId="77777777" w:rsidTr="007C762C">
        <w:trPr>
          <w:tblCellSpacing w:w="15" w:type="dxa"/>
          <w:jc w:val="center"/>
        </w:trPr>
        <w:tc>
          <w:tcPr>
            <w:tcW w:w="0" w:type="auto"/>
            <w:vAlign w:val="center"/>
            <w:hideMark/>
          </w:tcPr>
          <w:p w14:paraId="54A4EE89" w14:textId="77777777" w:rsidR="00544A3E" w:rsidRPr="00544A3E" w:rsidRDefault="00544A3E" w:rsidP="00544A3E">
            <w:pPr>
              <w:pStyle w:val="Corpotesto"/>
              <w:jc w:val="both"/>
            </w:pPr>
            <w:r w:rsidRPr="00544A3E">
              <w:t>Tessuto economico locale</w:t>
            </w:r>
          </w:p>
        </w:tc>
        <w:tc>
          <w:tcPr>
            <w:tcW w:w="0" w:type="auto"/>
            <w:vAlign w:val="center"/>
            <w:hideMark/>
          </w:tcPr>
          <w:p w14:paraId="565FDC67" w14:textId="77777777" w:rsidR="00544A3E" w:rsidRPr="00544A3E" w:rsidRDefault="00544A3E" w:rsidP="00544A3E">
            <w:pPr>
              <w:pStyle w:val="Corpotesto"/>
              <w:jc w:val="both"/>
            </w:pPr>
            <w:r w:rsidRPr="00544A3E">
              <w:t>Prevalenza di micro e piccole imprese familiari</w:t>
            </w:r>
          </w:p>
        </w:tc>
        <w:tc>
          <w:tcPr>
            <w:tcW w:w="0" w:type="auto"/>
            <w:vAlign w:val="center"/>
            <w:hideMark/>
          </w:tcPr>
          <w:p w14:paraId="36974511" w14:textId="77777777" w:rsidR="00544A3E" w:rsidRPr="00544A3E" w:rsidRDefault="00544A3E" w:rsidP="00544A3E">
            <w:pPr>
              <w:pStyle w:val="Corpotesto"/>
              <w:jc w:val="both"/>
            </w:pPr>
            <w:r w:rsidRPr="00544A3E">
              <w:t>Limitata concorrenza per affidamenti e forniture</w:t>
            </w:r>
          </w:p>
        </w:tc>
        <w:tc>
          <w:tcPr>
            <w:tcW w:w="0" w:type="auto"/>
            <w:vAlign w:val="center"/>
            <w:hideMark/>
          </w:tcPr>
          <w:p w14:paraId="64417B5C" w14:textId="77777777" w:rsidR="00544A3E" w:rsidRPr="00544A3E" w:rsidRDefault="00544A3E" w:rsidP="00544A3E">
            <w:pPr>
              <w:pStyle w:val="Corpotesto"/>
              <w:jc w:val="both"/>
            </w:pPr>
            <w:r w:rsidRPr="00544A3E">
              <w:t>Rafforzamento dei criteri oggettivi di scelta del contraente</w:t>
            </w:r>
          </w:p>
        </w:tc>
      </w:tr>
      <w:tr w:rsidR="00544A3E" w:rsidRPr="00544A3E" w14:paraId="0EB55078" w14:textId="77777777" w:rsidTr="007C762C">
        <w:trPr>
          <w:tblCellSpacing w:w="15" w:type="dxa"/>
          <w:jc w:val="center"/>
        </w:trPr>
        <w:tc>
          <w:tcPr>
            <w:tcW w:w="0" w:type="auto"/>
            <w:vAlign w:val="center"/>
            <w:hideMark/>
          </w:tcPr>
          <w:p w14:paraId="3E08F0AC" w14:textId="77777777" w:rsidR="00544A3E" w:rsidRPr="00544A3E" w:rsidRDefault="00544A3E" w:rsidP="00544A3E">
            <w:pPr>
              <w:pStyle w:val="Corpotesto"/>
              <w:jc w:val="both"/>
            </w:pPr>
            <w:r w:rsidRPr="00544A3E">
              <w:t>Interventi edilizi e urbanistici</w:t>
            </w:r>
          </w:p>
        </w:tc>
        <w:tc>
          <w:tcPr>
            <w:tcW w:w="0" w:type="auto"/>
            <w:vAlign w:val="center"/>
            <w:hideMark/>
          </w:tcPr>
          <w:p w14:paraId="7805DA70" w14:textId="77777777" w:rsidR="00544A3E" w:rsidRPr="00544A3E" w:rsidRDefault="00544A3E" w:rsidP="00544A3E">
            <w:pPr>
              <w:pStyle w:val="Corpotesto"/>
              <w:jc w:val="both"/>
            </w:pPr>
            <w:r w:rsidRPr="00544A3E">
              <w:t>Predominanza di lavori di modesta entità</w:t>
            </w:r>
          </w:p>
        </w:tc>
        <w:tc>
          <w:tcPr>
            <w:tcW w:w="0" w:type="auto"/>
            <w:vAlign w:val="center"/>
            <w:hideMark/>
          </w:tcPr>
          <w:p w14:paraId="1399E05E" w14:textId="77777777" w:rsidR="00544A3E" w:rsidRPr="00544A3E" w:rsidRDefault="00544A3E" w:rsidP="00544A3E">
            <w:pPr>
              <w:pStyle w:val="Corpotesto"/>
              <w:jc w:val="both"/>
            </w:pPr>
            <w:r w:rsidRPr="00544A3E">
              <w:t>Possibile discrezionalità nelle autorizzazioni</w:t>
            </w:r>
          </w:p>
        </w:tc>
        <w:tc>
          <w:tcPr>
            <w:tcW w:w="0" w:type="auto"/>
            <w:vAlign w:val="center"/>
            <w:hideMark/>
          </w:tcPr>
          <w:p w14:paraId="11413C5C" w14:textId="77777777" w:rsidR="00544A3E" w:rsidRPr="00544A3E" w:rsidRDefault="00544A3E" w:rsidP="00544A3E">
            <w:pPr>
              <w:pStyle w:val="Corpotesto"/>
              <w:jc w:val="both"/>
            </w:pPr>
            <w:r w:rsidRPr="00544A3E">
              <w:t>Controlli puntuali e trasparenza nei procedimenti edilizi</w:t>
            </w:r>
          </w:p>
        </w:tc>
      </w:tr>
      <w:tr w:rsidR="00544A3E" w:rsidRPr="00544A3E" w14:paraId="1F65BF7D" w14:textId="77777777" w:rsidTr="007C762C">
        <w:trPr>
          <w:tblCellSpacing w:w="15" w:type="dxa"/>
          <w:jc w:val="center"/>
        </w:trPr>
        <w:tc>
          <w:tcPr>
            <w:tcW w:w="0" w:type="auto"/>
            <w:vAlign w:val="center"/>
            <w:hideMark/>
          </w:tcPr>
          <w:p w14:paraId="5CDCC42A" w14:textId="77777777" w:rsidR="00544A3E" w:rsidRPr="00544A3E" w:rsidRDefault="00544A3E" w:rsidP="00544A3E">
            <w:pPr>
              <w:pStyle w:val="Corpotesto"/>
              <w:jc w:val="both"/>
            </w:pPr>
            <w:r w:rsidRPr="00544A3E">
              <w:t>Relazioni dirette con l’utenza</w:t>
            </w:r>
          </w:p>
        </w:tc>
        <w:tc>
          <w:tcPr>
            <w:tcW w:w="0" w:type="auto"/>
            <w:vAlign w:val="center"/>
            <w:hideMark/>
          </w:tcPr>
          <w:p w14:paraId="1C5E5E6B" w14:textId="77777777" w:rsidR="00544A3E" w:rsidRPr="00544A3E" w:rsidRDefault="00544A3E" w:rsidP="00544A3E">
            <w:pPr>
              <w:pStyle w:val="Corpotesto"/>
              <w:jc w:val="both"/>
            </w:pPr>
            <w:r w:rsidRPr="00544A3E">
              <w:t>Contatto frequente e personale con cittadini</w:t>
            </w:r>
          </w:p>
        </w:tc>
        <w:tc>
          <w:tcPr>
            <w:tcW w:w="0" w:type="auto"/>
            <w:vAlign w:val="center"/>
            <w:hideMark/>
          </w:tcPr>
          <w:p w14:paraId="6B58FC92" w14:textId="77777777" w:rsidR="00544A3E" w:rsidRPr="00544A3E" w:rsidRDefault="00544A3E" w:rsidP="00544A3E">
            <w:pPr>
              <w:pStyle w:val="Corpotesto"/>
              <w:jc w:val="both"/>
            </w:pPr>
            <w:r w:rsidRPr="00544A3E">
              <w:t>Rischio di trattamenti differenziati o conflitti di interesse</w:t>
            </w:r>
          </w:p>
        </w:tc>
        <w:tc>
          <w:tcPr>
            <w:tcW w:w="0" w:type="auto"/>
            <w:vAlign w:val="center"/>
            <w:hideMark/>
          </w:tcPr>
          <w:p w14:paraId="4FDE54BD" w14:textId="77777777" w:rsidR="00544A3E" w:rsidRPr="00544A3E" w:rsidRDefault="00544A3E" w:rsidP="00544A3E">
            <w:pPr>
              <w:pStyle w:val="Corpotesto"/>
              <w:jc w:val="both"/>
            </w:pPr>
            <w:r w:rsidRPr="00544A3E">
              <w:t>Standardizzazione dei servizi, regole chiare e pubbliche</w:t>
            </w:r>
          </w:p>
        </w:tc>
      </w:tr>
      <w:tr w:rsidR="00544A3E" w:rsidRPr="00544A3E" w14:paraId="2302A0DF" w14:textId="77777777" w:rsidTr="007C762C">
        <w:trPr>
          <w:tblCellSpacing w:w="15" w:type="dxa"/>
          <w:jc w:val="center"/>
        </w:trPr>
        <w:tc>
          <w:tcPr>
            <w:tcW w:w="0" w:type="auto"/>
            <w:vAlign w:val="center"/>
            <w:hideMark/>
          </w:tcPr>
          <w:p w14:paraId="1D6FD64F" w14:textId="77777777" w:rsidR="00544A3E" w:rsidRPr="00544A3E" w:rsidRDefault="00544A3E" w:rsidP="00544A3E">
            <w:pPr>
              <w:pStyle w:val="Corpotesto"/>
              <w:jc w:val="both"/>
            </w:pPr>
            <w:r w:rsidRPr="00544A3E">
              <w:t>Assenza di criminalità strutturata</w:t>
            </w:r>
          </w:p>
        </w:tc>
        <w:tc>
          <w:tcPr>
            <w:tcW w:w="0" w:type="auto"/>
            <w:vAlign w:val="center"/>
            <w:hideMark/>
          </w:tcPr>
          <w:p w14:paraId="667D5B81" w14:textId="77777777" w:rsidR="00544A3E" w:rsidRPr="00544A3E" w:rsidRDefault="00544A3E" w:rsidP="00544A3E">
            <w:pPr>
              <w:pStyle w:val="Corpotesto"/>
              <w:jc w:val="both"/>
            </w:pPr>
            <w:r w:rsidRPr="00544A3E">
              <w:t>Territorio privo di infiltrazioni organizzate</w:t>
            </w:r>
          </w:p>
        </w:tc>
        <w:tc>
          <w:tcPr>
            <w:tcW w:w="0" w:type="auto"/>
            <w:vAlign w:val="center"/>
            <w:hideMark/>
          </w:tcPr>
          <w:p w14:paraId="722C56A7" w14:textId="77777777" w:rsidR="00544A3E" w:rsidRPr="00544A3E" w:rsidRDefault="00544A3E" w:rsidP="00544A3E">
            <w:pPr>
              <w:pStyle w:val="Corpotesto"/>
              <w:jc w:val="both"/>
            </w:pPr>
            <w:r w:rsidRPr="00544A3E">
              <w:t>Basso rischio di corruzione strutturata, ma rischio di piccole pressioni</w:t>
            </w:r>
          </w:p>
        </w:tc>
        <w:tc>
          <w:tcPr>
            <w:tcW w:w="0" w:type="auto"/>
            <w:vAlign w:val="center"/>
            <w:hideMark/>
          </w:tcPr>
          <w:p w14:paraId="2A052900" w14:textId="77777777" w:rsidR="00544A3E" w:rsidRPr="00544A3E" w:rsidRDefault="00544A3E" w:rsidP="00544A3E">
            <w:pPr>
              <w:pStyle w:val="Corpotesto"/>
              <w:jc w:val="both"/>
            </w:pPr>
            <w:r w:rsidRPr="00544A3E">
              <w:t>Vigilanza costante e misure preventive adeguate</w:t>
            </w:r>
          </w:p>
        </w:tc>
      </w:tr>
    </w:tbl>
    <w:p w14:paraId="74880DA8" w14:textId="77777777" w:rsidR="00CA360C" w:rsidRPr="00544A3E" w:rsidRDefault="00CA360C" w:rsidP="00860921">
      <w:pPr>
        <w:pStyle w:val="Corpotesto"/>
        <w:jc w:val="both"/>
        <w:rPr>
          <w:bCs/>
          <w:iCs/>
          <w:color w:val="FF0000"/>
          <w:sz w:val="24"/>
        </w:rPr>
      </w:pPr>
    </w:p>
    <w:p w14:paraId="38B20C23" w14:textId="77777777" w:rsidR="00544A3E" w:rsidRPr="00544A3E" w:rsidRDefault="00544A3E" w:rsidP="00860921">
      <w:pPr>
        <w:pStyle w:val="Corpotesto"/>
        <w:jc w:val="both"/>
        <w:rPr>
          <w:bCs/>
          <w:iCs/>
          <w:color w:val="FF0000"/>
          <w:sz w:val="24"/>
        </w:rPr>
      </w:pPr>
    </w:p>
    <w:p w14:paraId="774F3821" w14:textId="2CF6BD49" w:rsidR="00822470" w:rsidRPr="00860921" w:rsidRDefault="00880CDD" w:rsidP="00B0059A">
      <w:pPr>
        <w:pStyle w:val="Titolo3"/>
      </w:pPr>
      <w:bookmarkStart w:id="31" w:name="_Toc87523795"/>
      <w:bookmarkStart w:id="32" w:name="_Toc97543229"/>
      <w:bookmarkStart w:id="33" w:name="_Toc150499189"/>
      <w:r w:rsidRPr="00860921">
        <w:t>L’a</w:t>
      </w:r>
      <w:r w:rsidR="00822470" w:rsidRPr="00860921">
        <w:t>nalisi del contesto interno</w:t>
      </w:r>
      <w:bookmarkEnd w:id="31"/>
      <w:bookmarkEnd w:id="32"/>
      <w:bookmarkEnd w:id="33"/>
    </w:p>
    <w:p w14:paraId="798FD693" w14:textId="77777777" w:rsidR="0007259A" w:rsidRDefault="0007259A" w:rsidP="0007259A">
      <w:bookmarkStart w:id="34" w:name="_Toc87523798"/>
    </w:p>
    <w:p w14:paraId="6C6DCC53" w14:textId="77777777" w:rsidR="00AE6C83" w:rsidRPr="00AE6C83" w:rsidRDefault="00AE6C83" w:rsidP="00AE6C83">
      <w:r w:rsidRPr="00AE6C83">
        <w:t>Il Comune di Genivolta è un ente locale di ridotte dimensioni, caratterizzato da una struttura organizzativa essenziale e da una dotazione di personale contenuta. Tale configurazione incide in modo significativo sull’assetto delle responsabilità e sull’organizzazione dei processi amministrativi, con effetti diretti sull’analisi del rischio corruttivo e sulle misure di prevenzione adottabili.</w:t>
      </w:r>
    </w:p>
    <w:p w14:paraId="2E2C79CA" w14:textId="77777777" w:rsidR="00AE6C83" w:rsidRDefault="00AE6C83" w:rsidP="00AE6C83"/>
    <w:p w14:paraId="4B447C2B" w14:textId="16C04FA9" w:rsidR="00AE6C83" w:rsidRPr="00AE6C83" w:rsidRDefault="00AE6C83" w:rsidP="00AE6C83">
      <w:r w:rsidRPr="00AE6C83">
        <w:t xml:space="preserve">L’organizzazione dell’Ente prevede l’attribuzione delle responsabilità di area in parte direttamente in capo al Sindaco e al Segretario comunale. In particolare, due aree risultano affidate al Sindaco, mentre una area è attribuita al Segretario comunale, che svolge altresì le funzioni di Responsabile della prevenzione della corruzione e della trasparenza (RPCT). Tale assetto risponde alle </w:t>
      </w:r>
      <w:r w:rsidRPr="00AE6C83">
        <w:lastRenderedPageBreak/>
        <w:t>esigenze operative tipiche dei piccoli comuni, nei quali la limitata presenza di personale dirigenziale o apicale rende necessario il ricorso a soluzioni organizzative semplificate.</w:t>
      </w:r>
    </w:p>
    <w:p w14:paraId="1D5C6CBE" w14:textId="77777777" w:rsidR="00AE6C83" w:rsidRPr="00AE6C83" w:rsidRDefault="00AE6C83" w:rsidP="00AE6C83">
      <w:r w:rsidRPr="00AE6C83">
        <w:t>La concentrazione di funzioni di indirizzo politico e di responsabilità gestionale in capo al Sindaco, pur consentita dalla normativa per gli enti di minori dimensioni, rappresenta un elemento rilevante ai fini dell’analisi del contesto interno. Essa richiede una particolare attenzione al rispetto della distinzione tra funzioni di indirizzo politico e funzioni gestionali, nonché alla tracciabilità dei procedimenti e alla formalizzazione delle decisioni, al fine di ridurre il rischio di commistione dei ruoli e di discrezionalità non adeguatamente presidiata.</w:t>
      </w:r>
    </w:p>
    <w:p w14:paraId="650E135D" w14:textId="77777777" w:rsidR="00AE6C83" w:rsidRDefault="00AE6C83" w:rsidP="00AE6C83"/>
    <w:p w14:paraId="7DC476CF" w14:textId="6ABCB8E5" w:rsidR="00AE6C83" w:rsidRDefault="00AE6C83" w:rsidP="00AE6C83">
      <w:r w:rsidRPr="00AE6C83">
        <w:t xml:space="preserve">Il Segretario comunale, oltre a essere responsabile </w:t>
      </w:r>
      <w:proofErr w:type="spellStart"/>
      <w:r w:rsidRPr="00AE6C83">
        <w:t>di area</w:t>
      </w:r>
      <w:proofErr w:type="spellEnd"/>
      <w:r w:rsidRPr="00AE6C83">
        <w:t>, svolge un ruolo centrale nel presidio della legalità e della correttezza dell’azione amministrativa, assicurando il supporto giuridico-amministrativo agli organi dell’Ente, il controllo di regolarità amministrativa e contabile e il coordinamento delle attività di prevenzione della corruzione e di attuazione degli obblighi di trasparenza. Tale accentramento di funzioni, tipico dei piccoli enti, rende particolarmente rilevante il rafforzamento dei controlli interni e dei meccanismi di verifica ex post sugli atti adottati.</w:t>
      </w:r>
    </w:p>
    <w:p w14:paraId="4DA21608" w14:textId="77777777" w:rsidR="0058715F" w:rsidRDefault="0058715F" w:rsidP="00AE6C8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2"/>
        <w:gridCol w:w="2864"/>
        <w:gridCol w:w="4732"/>
      </w:tblGrid>
      <w:tr w:rsidR="0058715F" w:rsidRPr="0058715F" w14:paraId="43FCFD32" w14:textId="77777777">
        <w:trPr>
          <w:tblHeader/>
          <w:tblCellSpacing w:w="15" w:type="dxa"/>
        </w:trPr>
        <w:tc>
          <w:tcPr>
            <w:tcW w:w="0" w:type="auto"/>
            <w:vAlign w:val="center"/>
            <w:hideMark/>
          </w:tcPr>
          <w:p w14:paraId="5C6DADE7" w14:textId="77777777" w:rsidR="0058715F" w:rsidRPr="0058715F" w:rsidRDefault="0058715F" w:rsidP="0058715F">
            <w:pPr>
              <w:jc w:val="center"/>
              <w:rPr>
                <w:b/>
                <w:bCs/>
              </w:rPr>
            </w:pPr>
            <w:r w:rsidRPr="0058715F">
              <w:rPr>
                <w:b/>
                <w:bCs/>
              </w:rPr>
              <w:t>Ambito organizzativo</w:t>
            </w:r>
          </w:p>
        </w:tc>
        <w:tc>
          <w:tcPr>
            <w:tcW w:w="0" w:type="auto"/>
            <w:vAlign w:val="center"/>
            <w:hideMark/>
          </w:tcPr>
          <w:p w14:paraId="76B55BC5" w14:textId="77777777" w:rsidR="0058715F" w:rsidRPr="0058715F" w:rsidRDefault="0058715F" w:rsidP="0058715F">
            <w:pPr>
              <w:jc w:val="center"/>
              <w:rPr>
                <w:b/>
                <w:bCs/>
              </w:rPr>
            </w:pPr>
            <w:r w:rsidRPr="0058715F">
              <w:rPr>
                <w:b/>
                <w:bCs/>
              </w:rPr>
              <w:t>Assetto del Comune di Genivolta</w:t>
            </w:r>
          </w:p>
        </w:tc>
        <w:tc>
          <w:tcPr>
            <w:tcW w:w="0" w:type="auto"/>
            <w:vAlign w:val="center"/>
            <w:hideMark/>
          </w:tcPr>
          <w:p w14:paraId="268E8124" w14:textId="77777777" w:rsidR="0058715F" w:rsidRPr="0058715F" w:rsidRDefault="0058715F" w:rsidP="0058715F">
            <w:pPr>
              <w:jc w:val="center"/>
              <w:rPr>
                <w:b/>
                <w:bCs/>
              </w:rPr>
            </w:pPr>
            <w:r w:rsidRPr="0058715F">
              <w:rPr>
                <w:b/>
                <w:bCs/>
              </w:rPr>
              <w:t>Elementi di attenzione ai fini anticorruzione</w:t>
            </w:r>
          </w:p>
        </w:tc>
      </w:tr>
      <w:tr w:rsidR="0058715F" w:rsidRPr="0058715F" w14:paraId="557AB944" w14:textId="77777777">
        <w:trPr>
          <w:tblCellSpacing w:w="15" w:type="dxa"/>
        </w:trPr>
        <w:tc>
          <w:tcPr>
            <w:tcW w:w="0" w:type="auto"/>
            <w:vAlign w:val="center"/>
            <w:hideMark/>
          </w:tcPr>
          <w:p w14:paraId="5B8A4D11" w14:textId="77777777" w:rsidR="0058715F" w:rsidRPr="0058715F" w:rsidRDefault="0058715F" w:rsidP="0058715F">
            <w:pPr>
              <w:jc w:val="center"/>
            </w:pPr>
            <w:r w:rsidRPr="0058715F">
              <w:t>Responsabilità di area</w:t>
            </w:r>
          </w:p>
        </w:tc>
        <w:tc>
          <w:tcPr>
            <w:tcW w:w="0" w:type="auto"/>
            <w:vAlign w:val="center"/>
            <w:hideMark/>
          </w:tcPr>
          <w:p w14:paraId="63BB6036" w14:textId="77777777" w:rsidR="0058715F" w:rsidRPr="0058715F" w:rsidRDefault="0058715F" w:rsidP="0058715F">
            <w:pPr>
              <w:jc w:val="center"/>
            </w:pPr>
            <w:r w:rsidRPr="0058715F">
              <w:t>Due aree affidate al Sindaco</w:t>
            </w:r>
          </w:p>
        </w:tc>
        <w:tc>
          <w:tcPr>
            <w:tcW w:w="0" w:type="auto"/>
            <w:vAlign w:val="center"/>
            <w:hideMark/>
          </w:tcPr>
          <w:p w14:paraId="2666EC0F" w14:textId="77777777" w:rsidR="0058715F" w:rsidRPr="0058715F" w:rsidRDefault="0058715F" w:rsidP="0058715F">
            <w:pPr>
              <w:jc w:val="center"/>
            </w:pPr>
            <w:r w:rsidRPr="0058715F">
              <w:t>Necessità di presidiare la distinzione tra funzioni di indirizzo politico e gestione amministrativa</w:t>
            </w:r>
          </w:p>
        </w:tc>
      </w:tr>
      <w:tr w:rsidR="0058715F" w:rsidRPr="0058715F" w14:paraId="64B2921B" w14:textId="77777777">
        <w:trPr>
          <w:tblCellSpacing w:w="15" w:type="dxa"/>
        </w:trPr>
        <w:tc>
          <w:tcPr>
            <w:tcW w:w="0" w:type="auto"/>
            <w:vAlign w:val="center"/>
            <w:hideMark/>
          </w:tcPr>
          <w:p w14:paraId="602239EC" w14:textId="77777777" w:rsidR="0058715F" w:rsidRPr="0058715F" w:rsidRDefault="0058715F" w:rsidP="0058715F">
            <w:pPr>
              <w:jc w:val="center"/>
            </w:pPr>
            <w:r w:rsidRPr="0058715F">
              <w:t>Responsabilità amministrativa</w:t>
            </w:r>
          </w:p>
        </w:tc>
        <w:tc>
          <w:tcPr>
            <w:tcW w:w="0" w:type="auto"/>
            <w:vAlign w:val="center"/>
            <w:hideMark/>
          </w:tcPr>
          <w:p w14:paraId="1C14F2DF" w14:textId="77777777" w:rsidR="0058715F" w:rsidRPr="0058715F" w:rsidRDefault="0058715F" w:rsidP="0058715F">
            <w:pPr>
              <w:jc w:val="center"/>
            </w:pPr>
            <w:r w:rsidRPr="0058715F">
              <w:t>Una area affidata al Segretario comunale</w:t>
            </w:r>
          </w:p>
        </w:tc>
        <w:tc>
          <w:tcPr>
            <w:tcW w:w="0" w:type="auto"/>
            <w:vAlign w:val="center"/>
            <w:hideMark/>
          </w:tcPr>
          <w:p w14:paraId="6AB60A35" w14:textId="77777777" w:rsidR="0058715F" w:rsidRPr="0058715F" w:rsidRDefault="0058715F" w:rsidP="0058715F">
            <w:pPr>
              <w:jc w:val="center"/>
            </w:pPr>
            <w:r w:rsidRPr="0058715F">
              <w:t>Accentramento di funzioni gestionali e di controllo</w:t>
            </w:r>
          </w:p>
        </w:tc>
      </w:tr>
      <w:tr w:rsidR="0058715F" w:rsidRPr="0058715F" w14:paraId="59439F93" w14:textId="77777777">
        <w:trPr>
          <w:tblCellSpacing w:w="15" w:type="dxa"/>
        </w:trPr>
        <w:tc>
          <w:tcPr>
            <w:tcW w:w="0" w:type="auto"/>
            <w:vAlign w:val="center"/>
            <w:hideMark/>
          </w:tcPr>
          <w:p w14:paraId="319C0381" w14:textId="77777777" w:rsidR="0058715F" w:rsidRPr="0058715F" w:rsidRDefault="0058715F" w:rsidP="0058715F">
            <w:pPr>
              <w:jc w:val="center"/>
            </w:pPr>
            <w:r w:rsidRPr="0058715F">
              <w:t>Funzioni di controllo</w:t>
            </w:r>
          </w:p>
        </w:tc>
        <w:tc>
          <w:tcPr>
            <w:tcW w:w="0" w:type="auto"/>
            <w:vAlign w:val="center"/>
            <w:hideMark/>
          </w:tcPr>
          <w:p w14:paraId="493F42B4" w14:textId="77777777" w:rsidR="0058715F" w:rsidRPr="0058715F" w:rsidRDefault="0058715F" w:rsidP="0058715F">
            <w:pPr>
              <w:jc w:val="center"/>
            </w:pPr>
            <w:r w:rsidRPr="0058715F">
              <w:t>Segretario comunale con ruolo di RPCT</w:t>
            </w:r>
          </w:p>
        </w:tc>
        <w:tc>
          <w:tcPr>
            <w:tcW w:w="0" w:type="auto"/>
            <w:vAlign w:val="center"/>
            <w:hideMark/>
          </w:tcPr>
          <w:p w14:paraId="1AEEE13D" w14:textId="77777777" w:rsidR="0058715F" w:rsidRPr="0058715F" w:rsidRDefault="0058715F" w:rsidP="0058715F">
            <w:pPr>
              <w:jc w:val="center"/>
            </w:pPr>
            <w:r w:rsidRPr="0058715F">
              <w:t>Rafforzamento della tracciabilità e dei controlli ex post</w:t>
            </w:r>
          </w:p>
        </w:tc>
      </w:tr>
      <w:tr w:rsidR="0058715F" w:rsidRPr="0058715F" w14:paraId="26E910A6" w14:textId="77777777">
        <w:trPr>
          <w:tblCellSpacing w:w="15" w:type="dxa"/>
        </w:trPr>
        <w:tc>
          <w:tcPr>
            <w:tcW w:w="0" w:type="auto"/>
            <w:vAlign w:val="center"/>
            <w:hideMark/>
          </w:tcPr>
          <w:p w14:paraId="124DB002" w14:textId="77777777" w:rsidR="0058715F" w:rsidRPr="0058715F" w:rsidRDefault="0058715F" w:rsidP="0058715F">
            <w:pPr>
              <w:jc w:val="center"/>
            </w:pPr>
            <w:r w:rsidRPr="0058715F">
              <w:t>Organico dell’Ente</w:t>
            </w:r>
          </w:p>
        </w:tc>
        <w:tc>
          <w:tcPr>
            <w:tcW w:w="0" w:type="auto"/>
            <w:vAlign w:val="center"/>
            <w:hideMark/>
          </w:tcPr>
          <w:p w14:paraId="4965FBE4" w14:textId="77777777" w:rsidR="0058715F" w:rsidRPr="0058715F" w:rsidRDefault="0058715F" w:rsidP="0058715F">
            <w:pPr>
              <w:jc w:val="center"/>
            </w:pPr>
            <w:r w:rsidRPr="0058715F">
              <w:t>Personale numericamente limitato</w:t>
            </w:r>
          </w:p>
        </w:tc>
        <w:tc>
          <w:tcPr>
            <w:tcW w:w="0" w:type="auto"/>
            <w:vAlign w:val="center"/>
            <w:hideMark/>
          </w:tcPr>
          <w:p w14:paraId="687D3863" w14:textId="77777777" w:rsidR="0058715F" w:rsidRPr="0058715F" w:rsidRDefault="0058715F" w:rsidP="0058715F">
            <w:pPr>
              <w:jc w:val="center"/>
            </w:pPr>
            <w:r w:rsidRPr="0058715F">
              <w:t>Ridotte possibilità di separazione delle fasi procedimentali</w:t>
            </w:r>
          </w:p>
        </w:tc>
      </w:tr>
      <w:tr w:rsidR="0058715F" w:rsidRPr="0058715F" w14:paraId="659AD56B" w14:textId="77777777">
        <w:trPr>
          <w:tblCellSpacing w:w="15" w:type="dxa"/>
        </w:trPr>
        <w:tc>
          <w:tcPr>
            <w:tcW w:w="0" w:type="auto"/>
            <w:vAlign w:val="center"/>
            <w:hideMark/>
          </w:tcPr>
          <w:p w14:paraId="56306C3F" w14:textId="77777777" w:rsidR="0058715F" w:rsidRPr="0058715F" w:rsidRDefault="0058715F" w:rsidP="0058715F">
            <w:pPr>
              <w:jc w:val="center"/>
            </w:pPr>
            <w:r w:rsidRPr="0058715F">
              <w:t>Continuità del personale</w:t>
            </w:r>
          </w:p>
        </w:tc>
        <w:tc>
          <w:tcPr>
            <w:tcW w:w="0" w:type="auto"/>
            <w:vAlign w:val="center"/>
            <w:hideMark/>
          </w:tcPr>
          <w:p w14:paraId="1AB592B8" w14:textId="77777777" w:rsidR="0058715F" w:rsidRPr="0058715F" w:rsidRDefault="0058715F" w:rsidP="0058715F">
            <w:pPr>
              <w:jc w:val="center"/>
            </w:pPr>
            <w:r w:rsidRPr="0058715F">
              <w:t>Elevata stabilità nel tempo</w:t>
            </w:r>
          </w:p>
        </w:tc>
        <w:tc>
          <w:tcPr>
            <w:tcW w:w="0" w:type="auto"/>
            <w:vAlign w:val="center"/>
            <w:hideMark/>
          </w:tcPr>
          <w:p w14:paraId="42CA4A8D" w14:textId="77777777" w:rsidR="0058715F" w:rsidRPr="0058715F" w:rsidRDefault="0058715F" w:rsidP="0058715F">
            <w:pPr>
              <w:jc w:val="center"/>
            </w:pPr>
            <w:r w:rsidRPr="0058715F">
              <w:t>Rilevanza di misure alternative alla rotazione</w:t>
            </w:r>
          </w:p>
        </w:tc>
      </w:tr>
      <w:tr w:rsidR="0058715F" w:rsidRPr="0058715F" w14:paraId="68A148FE" w14:textId="77777777">
        <w:trPr>
          <w:tblCellSpacing w:w="15" w:type="dxa"/>
        </w:trPr>
        <w:tc>
          <w:tcPr>
            <w:tcW w:w="0" w:type="auto"/>
            <w:vAlign w:val="center"/>
            <w:hideMark/>
          </w:tcPr>
          <w:p w14:paraId="7FFA4DAC" w14:textId="77777777" w:rsidR="0058715F" w:rsidRPr="0058715F" w:rsidRDefault="0058715F" w:rsidP="0058715F">
            <w:pPr>
              <w:jc w:val="center"/>
            </w:pPr>
            <w:r w:rsidRPr="0058715F">
              <w:t>Relazioni con l’utenza</w:t>
            </w:r>
          </w:p>
        </w:tc>
        <w:tc>
          <w:tcPr>
            <w:tcW w:w="0" w:type="auto"/>
            <w:vAlign w:val="center"/>
            <w:hideMark/>
          </w:tcPr>
          <w:p w14:paraId="4082BD97" w14:textId="77777777" w:rsidR="0058715F" w:rsidRPr="0058715F" w:rsidRDefault="0058715F" w:rsidP="0058715F">
            <w:pPr>
              <w:jc w:val="center"/>
            </w:pPr>
            <w:r w:rsidRPr="0058715F">
              <w:t>Elevata prossimità amministrazione–cittadini</w:t>
            </w:r>
          </w:p>
        </w:tc>
        <w:tc>
          <w:tcPr>
            <w:tcW w:w="0" w:type="auto"/>
            <w:vAlign w:val="center"/>
            <w:hideMark/>
          </w:tcPr>
          <w:p w14:paraId="72B0184D" w14:textId="77777777" w:rsidR="0058715F" w:rsidRPr="0058715F" w:rsidRDefault="0058715F" w:rsidP="0058715F">
            <w:pPr>
              <w:jc w:val="center"/>
            </w:pPr>
            <w:r w:rsidRPr="0058715F">
              <w:t>Attenzione ai profili di conflitto di interesse</w:t>
            </w:r>
          </w:p>
        </w:tc>
      </w:tr>
    </w:tbl>
    <w:p w14:paraId="0BEC45D0" w14:textId="77777777" w:rsidR="0058715F" w:rsidRPr="00AE6C83" w:rsidRDefault="0058715F" w:rsidP="00AE6C83"/>
    <w:p w14:paraId="59000252" w14:textId="77777777" w:rsidR="00AE6C83" w:rsidRDefault="00AE6C83" w:rsidP="00AE6C83"/>
    <w:p w14:paraId="750ECF78" w14:textId="6809BF62" w:rsidR="00AE6C83" w:rsidRPr="00AE6C83" w:rsidRDefault="00AE6C83" w:rsidP="00AE6C83">
      <w:r w:rsidRPr="00AE6C83">
        <w:t>Il personale in servizio è numericamente limitato e presenta un’elevata stabilità nel tempo, con una ridotta possibilità di rotazione ordinaria degli incarichi. Ciò comporta, da un lato, una profonda conoscenza del contesto territoriale e delle procedure amministrative, ma dall’altro espone l’Ente al rischio di consolidamento di prassi operative non sempre formalizzate. In tale contesto, assumono particolare rilievo le misure organizzative alternative alla rotazione, quali la standardizzazione delle procedure, la separazione delle fasi procedimentali, ove possibile, e il rafforzamento della tracciabilità delle decisioni.</w:t>
      </w:r>
    </w:p>
    <w:p w14:paraId="0DF466AC" w14:textId="77777777" w:rsidR="00AE6C83" w:rsidRDefault="00AE6C83" w:rsidP="00AE6C83"/>
    <w:p w14:paraId="543A1A91" w14:textId="7065D6F5" w:rsidR="00AE6C83" w:rsidRPr="00AE6C83" w:rsidRDefault="00AE6C83" w:rsidP="00AE6C83">
      <w:r w:rsidRPr="00AE6C83">
        <w:t>I procedimenti amministrativi risultano in larga parte concentrati su ambiti tradizionalmente esposti a un più elevato rischio corruttivo, quali l’affidamento di lavori, servizi e forniture, la gestione del patrimonio comunale, il rilascio di autorizzazioni e concessioni, nonché l’erogazione di contributi e benefici economici. In relazione a tali processi, l’Ente pone particolare attenzione al rispetto delle disposizioni normative vigenti, all’utilizzo di strumenti di acquisto centralizzati e piattaforme telematiche, nonché alla pubblicità e trasparenza degli atti.</w:t>
      </w:r>
    </w:p>
    <w:p w14:paraId="2F7E5592" w14:textId="77777777" w:rsidR="00AE6C83" w:rsidRDefault="00AE6C83" w:rsidP="00AE6C83"/>
    <w:p w14:paraId="5419FCC6" w14:textId="74139D16" w:rsidR="00AE6C83" w:rsidRPr="00AE6C83" w:rsidRDefault="00AE6C83" w:rsidP="00AE6C83">
      <w:r w:rsidRPr="00AE6C83">
        <w:t>Il sistema dei controlli interni, pur calibrato sulle dimensioni dell’Ente, costituisce un presidio fondamentale per la prevenzione dei fenomeni corruttivi. Il controllo di regolarità amministrativa, svolto dal Segretario comunale, e il controllo contabile rappresentano strumenti essenziali per garantire la legittimità e la correttezza dell’azione amministrativa, anche in un contesto caratterizzato da un’elevata prossimità tra amministrazione e cittadini.</w:t>
      </w:r>
    </w:p>
    <w:p w14:paraId="16996C96" w14:textId="77777777" w:rsidR="00AE6C83" w:rsidRDefault="00AE6C83" w:rsidP="00AE6C83"/>
    <w:p w14:paraId="04031871" w14:textId="1CA59031" w:rsidR="00AE6C83" w:rsidRDefault="00AE6C83" w:rsidP="00AE6C83">
      <w:r w:rsidRPr="00AE6C83">
        <w:lastRenderedPageBreak/>
        <w:t>Infine, il contesto interno del Comune di Genivolta è connotato da una relazione diretta e frequente tra amministratori, dipendenti e comunità locale. Tale prossimità, se da un lato favorisce l’ascolto e la tempestività delle risposte ai bisogni del territorio, dall’altro richiede un costante impegno nella promozione di una cultura dell’integrità, dell’imparzialità e della trasparenza, al fine di prevenire situazioni di conflitto di interessi, anche solo potenziale, e garantire il pieno rispetto dei principi di buon andamento e imparzialità dell’azione amministrativa.</w:t>
      </w:r>
    </w:p>
    <w:p w14:paraId="4B232F5D" w14:textId="77777777" w:rsidR="00AE6C83" w:rsidRDefault="00AE6C83" w:rsidP="00AE6C8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9"/>
        <w:gridCol w:w="3790"/>
        <w:gridCol w:w="3679"/>
      </w:tblGrid>
      <w:tr w:rsidR="00AE6C83" w:rsidRPr="00AE6C83" w14:paraId="42AA286B" w14:textId="77777777">
        <w:trPr>
          <w:tblHeader/>
          <w:tblCellSpacing w:w="15" w:type="dxa"/>
        </w:trPr>
        <w:tc>
          <w:tcPr>
            <w:tcW w:w="0" w:type="auto"/>
            <w:vAlign w:val="center"/>
            <w:hideMark/>
          </w:tcPr>
          <w:p w14:paraId="4D180C1C" w14:textId="77777777" w:rsidR="00AE6C83" w:rsidRPr="00AE6C83" w:rsidRDefault="00AE6C83" w:rsidP="00AE6C83">
            <w:pPr>
              <w:rPr>
                <w:b/>
                <w:bCs/>
              </w:rPr>
            </w:pPr>
            <w:r w:rsidRPr="00AE6C83">
              <w:rPr>
                <w:b/>
                <w:bCs/>
              </w:rPr>
              <w:t>Fattore di contesto interno</w:t>
            </w:r>
          </w:p>
        </w:tc>
        <w:tc>
          <w:tcPr>
            <w:tcW w:w="0" w:type="auto"/>
            <w:vAlign w:val="center"/>
            <w:hideMark/>
          </w:tcPr>
          <w:p w14:paraId="2E956684" w14:textId="77777777" w:rsidR="00AE6C83" w:rsidRPr="00AE6C83" w:rsidRDefault="00AE6C83" w:rsidP="00AE6C83">
            <w:pPr>
              <w:rPr>
                <w:b/>
                <w:bCs/>
              </w:rPr>
            </w:pPr>
            <w:r w:rsidRPr="00AE6C83">
              <w:rPr>
                <w:b/>
                <w:bCs/>
              </w:rPr>
              <w:t>Descrizione sintetica</w:t>
            </w:r>
          </w:p>
        </w:tc>
        <w:tc>
          <w:tcPr>
            <w:tcW w:w="0" w:type="auto"/>
            <w:vAlign w:val="center"/>
            <w:hideMark/>
          </w:tcPr>
          <w:p w14:paraId="348A8F59" w14:textId="77777777" w:rsidR="00AE6C83" w:rsidRPr="00AE6C83" w:rsidRDefault="00AE6C83" w:rsidP="00AE6C83">
            <w:pPr>
              <w:rPr>
                <w:b/>
                <w:bCs/>
              </w:rPr>
            </w:pPr>
            <w:r w:rsidRPr="00AE6C83">
              <w:rPr>
                <w:b/>
                <w:bCs/>
              </w:rPr>
              <w:t>Profilo di rischio prevalente</w:t>
            </w:r>
          </w:p>
        </w:tc>
      </w:tr>
      <w:tr w:rsidR="00AE6C83" w:rsidRPr="00AE6C83" w14:paraId="6CDC9D72" w14:textId="77777777">
        <w:trPr>
          <w:tblCellSpacing w:w="15" w:type="dxa"/>
        </w:trPr>
        <w:tc>
          <w:tcPr>
            <w:tcW w:w="0" w:type="auto"/>
            <w:vAlign w:val="center"/>
            <w:hideMark/>
          </w:tcPr>
          <w:p w14:paraId="14DD579B" w14:textId="77777777" w:rsidR="00AE6C83" w:rsidRPr="00AE6C83" w:rsidRDefault="00AE6C83" w:rsidP="00AE6C83">
            <w:r w:rsidRPr="00AE6C83">
              <w:t>Dimensione organizzativa</w:t>
            </w:r>
          </w:p>
        </w:tc>
        <w:tc>
          <w:tcPr>
            <w:tcW w:w="0" w:type="auto"/>
            <w:vAlign w:val="center"/>
            <w:hideMark/>
          </w:tcPr>
          <w:p w14:paraId="0A769AC5" w14:textId="77777777" w:rsidR="00AE6C83" w:rsidRPr="00AE6C83" w:rsidRDefault="00AE6C83" w:rsidP="00AE6C83">
            <w:r w:rsidRPr="00AE6C83">
              <w:t>Ente di piccole dimensioni con struttura amministrativa semplificata</w:t>
            </w:r>
          </w:p>
        </w:tc>
        <w:tc>
          <w:tcPr>
            <w:tcW w:w="0" w:type="auto"/>
            <w:vAlign w:val="center"/>
            <w:hideMark/>
          </w:tcPr>
          <w:p w14:paraId="031C39A8" w14:textId="77777777" w:rsidR="00AE6C83" w:rsidRPr="00AE6C83" w:rsidRDefault="00AE6C83" w:rsidP="00AE6C83">
            <w:r w:rsidRPr="00AE6C83">
              <w:t>Concentrazione delle funzioni e limitata separazione dei ruoli</w:t>
            </w:r>
          </w:p>
        </w:tc>
      </w:tr>
      <w:tr w:rsidR="00AE6C83" w:rsidRPr="00AE6C83" w14:paraId="4D223F45" w14:textId="77777777">
        <w:trPr>
          <w:tblCellSpacing w:w="15" w:type="dxa"/>
        </w:trPr>
        <w:tc>
          <w:tcPr>
            <w:tcW w:w="0" w:type="auto"/>
            <w:vAlign w:val="center"/>
            <w:hideMark/>
          </w:tcPr>
          <w:p w14:paraId="66912031" w14:textId="77777777" w:rsidR="00AE6C83" w:rsidRPr="00AE6C83" w:rsidRDefault="00AE6C83" w:rsidP="00AE6C83">
            <w:r w:rsidRPr="00AE6C83">
              <w:t>Assetto delle responsabilità</w:t>
            </w:r>
          </w:p>
        </w:tc>
        <w:tc>
          <w:tcPr>
            <w:tcW w:w="0" w:type="auto"/>
            <w:vAlign w:val="center"/>
            <w:hideMark/>
          </w:tcPr>
          <w:p w14:paraId="688CD96E" w14:textId="77777777" w:rsidR="00AE6C83" w:rsidRPr="00AE6C83" w:rsidRDefault="00AE6C83" w:rsidP="00AE6C83">
            <w:r w:rsidRPr="00AE6C83">
              <w:t>Due aree affidate al Sindaco e una al Segretario comunale</w:t>
            </w:r>
          </w:p>
        </w:tc>
        <w:tc>
          <w:tcPr>
            <w:tcW w:w="0" w:type="auto"/>
            <w:vAlign w:val="center"/>
            <w:hideMark/>
          </w:tcPr>
          <w:p w14:paraId="7E7E44CC" w14:textId="77777777" w:rsidR="00AE6C83" w:rsidRPr="00AE6C83" w:rsidRDefault="00AE6C83" w:rsidP="00AE6C83">
            <w:r w:rsidRPr="00AE6C83">
              <w:t>Rischio di commistione tra indirizzo politico e gestione</w:t>
            </w:r>
          </w:p>
        </w:tc>
      </w:tr>
      <w:tr w:rsidR="00AE6C83" w:rsidRPr="00AE6C83" w14:paraId="69D72186" w14:textId="77777777">
        <w:trPr>
          <w:tblCellSpacing w:w="15" w:type="dxa"/>
        </w:trPr>
        <w:tc>
          <w:tcPr>
            <w:tcW w:w="0" w:type="auto"/>
            <w:vAlign w:val="center"/>
            <w:hideMark/>
          </w:tcPr>
          <w:p w14:paraId="35E208F8" w14:textId="77777777" w:rsidR="00AE6C83" w:rsidRPr="00AE6C83" w:rsidRDefault="00AE6C83" w:rsidP="00AE6C83">
            <w:r w:rsidRPr="00AE6C83">
              <w:t>Dotazione di personale</w:t>
            </w:r>
          </w:p>
        </w:tc>
        <w:tc>
          <w:tcPr>
            <w:tcW w:w="0" w:type="auto"/>
            <w:vAlign w:val="center"/>
            <w:hideMark/>
          </w:tcPr>
          <w:p w14:paraId="3B7ECFD6" w14:textId="77777777" w:rsidR="00AE6C83" w:rsidRPr="00AE6C83" w:rsidRDefault="00AE6C83" w:rsidP="00AE6C83">
            <w:r w:rsidRPr="00AE6C83">
              <w:t>Personale numericamente limitato e con elevata stabilità</w:t>
            </w:r>
          </w:p>
        </w:tc>
        <w:tc>
          <w:tcPr>
            <w:tcW w:w="0" w:type="auto"/>
            <w:vAlign w:val="center"/>
            <w:hideMark/>
          </w:tcPr>
          <w:p w14:paraId="0AF811FF" w14:textId="77777777" w:rsidR="00AE6C83" w:rsidRPr="00AE6C83" w:rsidRDefault="00AE6C83" w:rsidP="00AE6C83">
            <w:r w:rsidRPr="00AE6C83">
              <w:t>Ridotta rotazione ordinaria e consolidamento di prassi operative</w:t>
            </w:r>
          </w:p>
        </w:tc>
      </w:tr>
      <w:tr w:rsidR="00AE6C83" w:rsidRPr="00AE6C83" w14:paraId="56AFC8BD" w14:textId="77777777">
        <w:trPr>
          <w:tblCellSpacing w:w="15" w:type="dxa"/>
        </w:trPr>
        <w:tc>
          <w:tcPr>
            <w:tcW w:w="0" w:type="auto"/>
            <w:vAlign w:val="center"/>
            <w:hideMark/>
          </w:tcPr>
          <w:p w14:paraId="7D2E133A" w14:textId="77777777" w:rsidR="00AE6C83" w:rsidRPr="00AE6C83" w:rsidRDefault="00AE6C83" w:rsidP="00AE6C83">
            <w:r w:rsidRPr="00AE6C83">
              <w:t>Ruolo del Segretario comunale</w:t>
            </w:r>
          </w:p>
        </w:tc>
        <w:tc>
          <w:tcPr>
            <w:tcW w:w="0" w:type="auto"/>
            <w:vAlign w:val="center"/>
            <w:hideMark/>
          </w:tcPr>
          <w:p w14:paraId="6BA49A71" w14:textId="77777777" w:rsidR="00AE6C83" w:rsidRPr="00AE6C83" w:rsidRDefault="00AE6C83" w:rsidP="00AE6C83">
            <w:r w:rsidRPr="00AE6C83">
              <w:t xml:space="preserve">Responsabile </w:t>
            </w:r>
            <w:proofErr w:type="spellStart"/>
            <w:r w:rsidRPr="00AE6C83">
              <w:t>di area</w:t>
            </w:r>
            <w:proofErr w:type="spellEnd"/>
            <w:r w:rsidRPr="00AE6C83">
              <w:t xml:space="preserve"> e RPCT</w:t>
            </w:r>
          </w:p>
        </w:tc>
        <w:tc>
          <w:tcPr>
            <w:tcW w:w="0" w:type="auto"/>
            <w:vAlign w:val="center"/>
            <w:hideMark/>
          </w:tcPr>
          <w:p w14:paraId="24C5E35A" w14:textId="77777777" w:rsidR="00AE6C83" w:rsidRPr="00AE6C83" w:rsidRDefault="00AE6C83" w:rsidP="00AE6C83">
            <w:r w:rsidRPr="00AE6C83">
              <w:t>Accentramento di funzioni di controllo e coordinamento</w:t>
            </w:r>
          </w:p>
        </w:tc>
      </w:tr>
      <w:tr w:rsidR="00AE6C83" w:rsidRPr="00AE6C83" w14:paraId="46F762EE" w14:textId="77777777">
        <w:trPr>
          <w:tblCellSpacing w:w="15" w:type="dxa"/>
        </w:trPr>
        <w:tc>
          <w:tcPr>
            <w:tcW w:w="0" w:type="auto"/>
            <w:vAlign w:val="center"/>
            <w:hideMark/>
          </w:tcPr>
          <w:p w14:paraId="30B4DAB8" w14:textId="77777777" w:rsidR="00AE6C83" w:rsidRPr="00AE6C83" w:rsidRDefault="00AE6C83" w:rsidP="00AE6C83">
            <w:r w:rsidRPr="00AE6C83">
              <w:t>Processi a maggiore esposizione</w:t>
            </w:r>
          </w:p>
        </w:tc>
        <w:tc>
          <w:tcPr>
            <w:tcW w:w="0" w:type="auto"/>
            <w:vAlign w:val="center"/>
            <w:hideMark/>
          </w:tcPr>
          <w:p w14:paraId="25379971" w14:textId="77777777" w:rsidR="00AE6C83" w:rsidRPr="00AE6C83" w:rsidRDefault="00AE6C83" w:rsidP="00AE6C83">
            <w:r w:rsidRPr="00AE6C83">
              <w:t>Appalti, autorizzazioni, contributi, gestione del patrimonio</w:t>
            </w:r>
          </w:p>
        </w:tc>
        <w:tc>
          <w:tcPr>
            <w:tcW w:w="0" w:type="auto"/>
            <w:vAlign w:val="center"/>
            <w:hideMark/>
          </w:tcPr>
          <w:p w14:paraId="61063A4C" w14:textId="77777777" w:rsidR="00AE6C83" w:rsidRPr="00AE6C83" w:rsidRDefault="00AE6C83" w:rsidP="00AE6C83">
            <w:r w:rsidRPr="00AE6C83">
              <w:t>Elevata discrezionalità amministrativa</w:t>
            </w:r>
          </w:p>
        </w:tc>
      </w:tr>
      <w:tr w:rsidR="00AE6C83" w:rsidRPr="00AE6C83" w14:paraId="3C6E2C86" w14:textId="77777777">
        <w:trPr>
          <w:tblCellSpacing w:w="15" w:type="dxa"/>
        </w:trPr>
        <w:tc>
          <w:tcPr>
            <w:tcW w:w="0" w:type="auto"/>
            <w:vAlign w:val="center"/>
            <w:hideMark/>
          </w:tcPr>
          <w:p w14:paraId="1B9B1ED4" w14:textId="77777777" w:rsidR="00AE6C83" w:rsidRPr="00AE6C83" w:rsidRDefault="00AE6C83" w:rsidP="00AE6C83">
            <w:r w:rsidRPr="00AE6C83">
              <w:t>Contesto relazionale</w:t>
            </w:r>
          </w:p>
        </w:tc>
        <w:tc>
          <w:tcPr>
            <w:tcW w:w="0" w:type="auto"/>
            <w:vAlign w:val="center"/>
            <w:hideMark/>
          </w:tcPr>
          <w:p w14:paraId="28FA60BE" w14:textId="77777777" w:rsidR="00AE6C83" w:rsidRPr="00AE6C83" w:rsidRDefault="00AE6C83" w:rsidP="00AE6C83">
            <w:r w:rsidRPr="00AE6C83">
              <w:t>Rapporto diretto e continuo con la comunità locale</w:t>
            </w:r>
          </w:p>
        </w:tc>
        <w:tc>
          <w:tcPr>
            <w:tcW w:w="0" w:type="auto"/>
            <w:vAlign w:val="center"/>
            <w:hideMark/>
          </w:tcPr>
          <w:p w14:paraId="285E1591" w14:textId="77777777" w:rsidR="00AE6C83" w:rsidRPr="00AE6C83" w:rsidRDefault="00AE6C83" w:rsidP="00AE6C83">
            <w:r w:rsidRPr="00AE6C83">
              <w:t>Rischio di conflitti di interesse, anche potenziali</w:t>
            </w:r>
          </w:p>
        </w:tc>
      </w:tr>
    </w:tbl>
    <w:p w14:paraId="76C3BAE6" w14:textId="77777777" w:rsidR="00AE6C83" w:rsidRPr="00AE6C83" w:rsidRDefault="00AE6C83" w:rsidP="00AE6C83"/>
    <w:p w14:paraId="57D51A06" w14:textId="77777777" w:rsidR="00AE6C83" w:rsidRDefault="00AE6C83" w:rsidP="0007259A"/>
    <w:p w14:paraId="3FF43EDD" w14:textId="4318F6F6" w:rsidR="007866CA" w:rsidRPr="00860921" w:rsidRDefault="00A01FA6" w:rsidP="001915CC">
      <w:pPr>
        <w:pStyle w:val="Titolo1"/>
      </w:pPr>
      <w:bookmarkStart w:id="35" w:name="_Toc97543232"/>
      <w:bookmarkStart w:id="36" w:name="_Toc150499192"/>
      <w:r w:rsidRPr="00860921">
        <w:t>La mappatura dei processi</w:t>
      </w:r>
      <w:bookmarkEnd w:id="34"/>
      <w:bookmarkEnd w:id="35"/>
      <w:bookmarkEnd w:id="36"/>
    </w:p>
    <w:p w14:paraId="08759465" w14:textId="77777777" w:rsidR="001915CC" w:rsidRDefault="001915CC" w:rsidP="00860921">
      <w:pPr>
        <w:rPr>
          <w:rFonts w:cs="Arial"/>
          <w:bCs/>
          <w:sz w:val="24"/>
          <w:szCs w:val="24"/>
        </w:rPr>
      </w:pPr>
    </w:p>
    <w:p w14:paraId="350E12F5" w14:textId="5383F5B2" w:rsidR="00DA7324" w:rsidRPr="00860921" w:rsidRDefault="00DA7324" w:rsidP="001915CC">
      <w:r w:rsidRPr="00860921">
        <w:t xml:space="preserve">La mappatura dei processi è un requisito indispensabile per la formulazione di adeguate misure e incide sulla qualità complessiva della gestione del rischio. </w:t>
      </w:r>
      <w:r w:rsidR="000D23CB" w:rsidRPr="00860921">
        <w:t>U</w:t>
      </w:r>
      <w:r w:rsidRPr="00860921">
        <w:t>na compiuta analisi dei processi consente di identificare i punti più vulnerabili e, dunque, i rischi di corruzione che si generano attraverso le attività svolte.</w:t>
      </w:r>
    </w:p>
    <w:p w14:paraId="4DC1E6EE" w14:textId="19603EE4" w:rsidR="000D23CB" w:rsidRPr="001915CC" w:rsidRDefault="00DA7324" w:rsidP="001915CC">
      <w:r w:rsidRPr="001915CC">
        <w:t>Per la mappatura è fondamentale il coinvolgimento dei responsabili delle strutture organizzative principali. Può essere utile prevedere</w:t>
      </w:r>
      <w:r w:rsidR="000D23CB" w:rsidRPr="001915CC">
        <w:t xml:space="preserve"> </w:t>
      </w:r>
      <w:r w:rsidRPr="001915CC">
        <w:t xml:space="preserve">la costituzione di un gruppo di lavoro dedicato e interviste agli addetti ai processi onde individuare gli elementi peculiari e i principali flussi. </w:t>
      </w:r>
    </w:p>
    <w:p w14:paraId="38602576" w14:textId="77777777" w:rsidR="000D23CB" w:rsidRPr="001915CC" w:rsidRDefault="000D23CB" w:rsidP="001915CC">
      <w:r w:rsidRPr="001915CC">
        <w:t>S</w:t>
      </w:r>
      <w:r w:rsidR="00DA7324" w:rsidRPr="001915CC">
        <w:t xml:space="preserve">oprattutto in questa fase, il RPCT, che coordina la mappatura dei processi, deve poter disporre delle risorse necessarie e della collaborazione dell’intera struttura organizzativa. </w:t>
      </w:r>
    </w:p>
    <w:p w14:paraId="0673BEE6" w14:textId="7E5CDBBB" w:rsidR="000D23CB" w:rsidRPr="001915CC" w:rsidRDefault="000D23CB" w:rsidP="001915CC">
      <w:r w:rsidRPr="001915CC">
        <w:t>I</w:t>
      </w:r>
      <w:r w:rsidR="00DA7324" w:rsidRPr="001915CC">
        <w:t xml:space="preserve"> dirigenti, ai sensi dell’art. 16</w:t>
      </w:r>
      <w:r w:rsidRPr="001915CC">
        <w:t>,</w:t>
      </w:r>
      <w:r w:rsidR="00DA7324" w:rsidRPr="001915CC">
        <w:t xml:space="preserve"> co. 1</w:t>
      </w:r>
      <w:r w:rsidRPr="001915CC">
        <w:t xml:space="preserve"> lett. l-ter), d.lgs.</w:t>
      </w:r>
      <w:r w:rsidR="00DA7324" w:rsidRPr="001915CC">
        <w:t xml:space="preserve"> 165/2001</w:t>
      </w:r>
      <w:r w:rsidRPr="001915CC">
        <w:t xml:space="preserve">: </w:t>
      </w:r>
      <w:r w:rsidR="00DA7324" w:rsidRPr="001915CC">
        <w:t>forniscono informazioni per l'individuazione delle attività nell'ambito delle quali è più elevato il rischio corruzione</w:t>
      </w:r>
      <w:r w:rsidRPr="001915CC">
        <w:t xml:space="preserve">; </w:t>
      </w:r>
      <w:r w:rsidR="00DA7324" w:rsidRPr="001915CC">
        <w:t>formulano specifiche proposte volte alla prevenzione del rischio medesimo</w:t>
      </w:r>
      <w:r w:rsidRPr="001915CC">
        <w:t xml:space="preserve">. </w:t>
      </w:r>
    </w:p>
    <w:p w14:paraId="77FA0F4D" w14:textId="4D5781BB" w:rsidR="00DA7324" w:rsidRPr="001915CC" w:rsidRDefault="000D23CB" w:rsidP="001915CC">
      <w:r w:rsidRPr="001915CC">
        <w:t>T</w:t>
      </w:r>
      <w:r w:rsidR="00DA7324" w:rsidRPr="001915CC">
        <w:t xml:space="preserve">utti i dipendenti, ai sensi dell’art. 8 </w:t>
      </w:r>
      <w:r w:rsidRPr="001915CC">
        <w:t>DPR 62/2013</w:t>
      </w:r>
      <w:r w:rsidR="00DA7324" w:rsidRPr="001915CC">
        <w:t xml:space="preserve">, prestano collaborazione al responsabile della prevenzione della corruzione. </w:t>
      </w:r>
    </w:p>
    <w:p w14:paraId="0DBBF960" w14:textId="06F4844C" w:rsidR="00485ED8" w:rsidRPr="001915CC" w:rsidRDefault="00014F6C" w:rsidP="001915CC">
      <w:r w:rsidRPr="001915CC">
        <w:t>I</w:t>
      </w:r>
      <w:r w:rsidR="00266DED" w:rsidRPr="001915CC">
        <w:t xml:space="preserve"> processi </w:t>
      </w:r>
      <w:r w:rsidR="00DA7324" w:rsidRPr="001915CC">
        <w:t>identificati, poi, vengono</w:t>
      </w:r>
      <w:r w:rsidR="00266DED" w:rsidRPr="001915CC">
        <w:t xml:space="preserve"> aggregati nelle aree di rischio, intese come raggruppamenti omogenei di processi. Le aree di rischio possono essere distinte in generali e specifiche</w:t>
      </w:r>
      <w:r w:rsidR="00485ED8" w:rsidRPr="001915CC">
        <w:t xml:space="preserve">: </w:t>
      </w:r>
    </w:p>
    <w:p w14:paraId="0D53CD0A" w14:textId="128216FB" w:rsidR="00485ED8" w:rsidRPr="001915CC" w:rsidRDefault="00DA7324" w:rsidP="001915CC">
      <w:pPr>
        <w:pStyle w:val="Paragrafoelenco"/>
        <w:numPr>
          <w:ilvl w:val="0"/>
          <w:numId w:val="54"/>
        </w:numPr>
        <w:rPr>
          <w:rFonts w:cs="Arial"/>
        </w:rPr>
      </w:pPr>
      <w:r w:rsidRPr="001915CC">
        <w:rPr>
          <w:rFonts w:cs="Arial"/>
        </w:rPr>
        <w:t>G</w:t>
      </w:r>
      <w:r w:rsidR="00266DED" w:rsidRPr="001915CC">
        <w:rPr>
          <w:rFonts w:cs="Arial"/>
        </w:rPr>
        <w:t>enerali</w:t>
      </w:r>
      <w:r w:rsidRPr="001915CC">
        <w:rPr>
          <w:rFonts w:cs="Arial"/>
        </w:rPr>
        <w:t>:</w:t>
      </w:r>
      <w:r w:rsidR="00266DED" w:rsidRPr="001915CC">
        <w:rPr>
          <w:rFonts w:cs="Arial"/>
        </w:rPr>
        <w:t xml:space="preserve"> sono comuni a tutte le amministrazioni (es. contratti pubblici, acquisizione e gestione del personale)</w:t>
      </w:r>
      <w:r w:rsidRPr="001915CC">
        <w:rPr>
          <w:rFonts w:cs="Arial"/>
        </w:rPr>
        <w:t>.</w:t>
      </w:r>
    </w:p>
    <w:p w14:paraId="3BDBBE1C" w14:textId="3A5042D6" w:rsidR="00266DED" w:rsidRPr="001915CC" w:rsidRDefault="00DA7324" w:rsidP="001915CC">
      <w:pPr>
        <w:pStyle w:val="Paragrafoelenco"/>
        <w:numPr>
          <w:ilvl w:val="0"/>
          <w:numId w:val="54"/>
        </w:numPr>
        <w:rPr>
          <w:rFonts w:cs="Arial"/>
        </w:rPr>
      </w:pPr>
      <w:r w:rsidRPr="001915CC">
        <w:rPr>
          <w:rFonts w:cs="Arial"/>
        </w:rPr>
        <w:t>S</w:t>
      </w:r>
      <w:r w:rsidR="00266DED" w:rsidRPr="001915CC">
        <w:rPr>
          <w:rFonts w:cs="Arial"/>
        </w:rPr>
        <w:t>pecifiche</w:t>
      </w:r>
      <w:r w:rsidRPr="001915CC">
        <w:rPr>
          <w:rFonts w:cs="Arial"/>
        </w:rPr>
        <w:t>:</w:t>
      </w:r>
      <w:r w:rsidR="00266DED" w:rsidRPr="001915CC">
        <w:rPr>
          <w:rFonts w:cs="Arial"/>
        </w:rPr>
        <w:t xml:space="preserve"> riguardano la singola amministrazione e dipendono dalle caratteristiche peculiari delle attività svolte</w:t>
      </w:r>
      <w:r w:rsidRPr="001915CC">
        <w:rPr>
          <w:rFonts w:cs="Arial"/>
        </w:rPr>
        <w:t xml:space="preserve"> dalla stessa</w:t>
      </w:r>
      <w:r w:rsidR="00266DED" w:rsidRPr="001915CC">
        <w:rPr>
          <w:rFonts w:cs="Arial"/>
        </w:rPr>
        <w:t>.</w:t>
      </w:r>
    </w:p>
    <w:p w14:paraId="31755218" w14:textId="39E485AE" w:rsidR="0087674E" w:rsidRPr="001915CC" w:rsidRDefault="00951290" w:rsidP="001915CC">
      <w:r w:rsidRPr="001915CC">
        <w:t xml:space="preserve">L’Allegato n. 1 del PNA 2019 ha individuato </w:t>
      </w:r>
      <w:r w:rsidR="0087674E" w:rsidRPr="001915CC">
        <w:t>le</w:t>
      </w:r>
      <w:r w:rsidRPr="001915CC">
        <w:t xml:space="preserve"> aree di rischio generali: </w:t>
      </w:r>
    </w:p>
    <w:p w14:paraId="0044DBEC" w14:textId="77777777" w:rsidR="0087674E" w:rsidRPr="001915CC" w:rsidRDefault="00951290" w:rsidP="001915CC">
      <w:pPr>
        <w:pStyle w:val="Paragrafoelenco"/>
        <w:numPr>
          <w:ilvl w:val="0"/>
          <w:numId w:val="55"/>
        </w:numPr>
      </w:pPr>
      <w:r w:rsidRPr="001915CC">
        <w:t xml:space="preserve">provvedimenti ampliativi della sfera giuridica dei destinatari privi di effetto economico diretto e immediato; </w:t>
      </w:r>
    </w:p>
    <w:p w14:paraId="0C12A8D9" w14:textId="77777777" w:rsidR="0087674E" w:rsidRPr="001915CC" w:rsidRDefault="00951290" w:rsidP="001915CC">
      <w:pPr>
        <w:pStyle w:val="Paragrafoelenco"/>
        <w:numPr>
          <w:ilvl w:val="0"/>
          <w:numId w:val="55"/>
        </w:numPr>
      </w:pPr>
      <w:r w:rsidRPr="001915CC">
        <w:t xml:space="preserve">provvedimenti ampliativi della sfera giuridica dei destinatari con effetto economico diretto e immediato; contratti pubblici; </w:t>
      </w:r>
    </w:p>
    <w:p w14:paraId="4CD10259" w14:textId="77777777" w:rsidR="0087674E" w:rsidRPr="001915CC" w:rsidRDefault="00951290" w:rsidP="001915CC">
      <w:pPr>
        <w:pStyle w:val="Paragrafoelenco"/>
        <w:numPr>
          <w:ilvl w:val="0"/>
          <w:numId w:val="55"/>
        </w:numPr>
      </w:pPr>
      <w:r w:rsidRPr="001915CC">
        <w:t xml:space="preserve">acquisizione e gestione del personale; </w:t>
      </w:r>
    </w:p>
    <w:p w14:paraId="75A150C1" w14:textId="77777777" w:rsidR="0087674E" w:rsidRPr="001915CC" w:rsidRDefault="00951290" w:rsidP="001915CC">
      <w:pPr>
        <w:pStyle w:val="Paragrafoelenco"/>
        <w:numPr>
          <w:ilvl w:val="0"/>
          <w:numId w:val="55"/>
        </w:numPr>
      </w:pPr>
      <w:r w:rsidRPr="001915CC">
        <w:t xml:space="preserve">gestione delle entrate, delle spese e del patrimonio; </w:t>
      </w:r>
    </w:p>
    <w:p w14:paraId="540858B5" w14:textId="77777777" w:rsidR="0087674E" w:rsidRPr="001915CC" w:rsidRDefault="00951290" w:rsidP="001915CC">
      <w:pPr>
        <w:pStyle w:val="Paragrafoelenco"/>
        <w:numPr>
          <w:ilvl w:val="0"/>
          <w:numId w:val="55"/>
        </w:numPr>
      </w:pPr>
      <w:r w:rsidRPr="001915CC">
        <w:t xml:space="preserve">controlli, verifiche, ispezioni e sanzioni; incarichi e nomine; </w:t>
      </w:r>
    </w:p>
    <w:p w14:paraId="3748D62C" w14:textId="77777777" w:rsidR="0087674E" w:rsidRPr="001915CC" w:rsidRDefault="00951290" w:rsidP="001915CC">
      <w:pPr>
        <w:pStyle w:val="Paragrafoelenco"/>
        <w:numPr>
          <w:ilvl w:val="0"/>
          <w:numId w:val="55"/>
        </w:numPr>
      </w:pPr>
      <w:r w:rsidRPr="001915CC">
        <w:t>affari legali e contenzioso.</w:t>
      </w:r>
    </w:p>
    <w:p w14:paraId="39405D04" w14:textId="77777777" w:rsidR="0087674E" w:rsidRPr="001915CC" w:rsidRDefault="00951290" w:rsidP="001915CC">
      <w:pPr>
        <w:pStyle w:val="Paragrafoelenco"/>
        <w:numPr>
          <w:ilvl w:val="0"/>
          <w:numId w:val="55"/>
        </w:numPr>
      </w:pPr>
      <w:r w:rsidRPr="001915CC">
        <w:lastRenderedPageBreak/>
        <w:t>governo del territorio</w:t>
      </w:r>
      <w:r w:rsidR="0087674E" w:rsidRPr="001915CC">
        <w:t xml:space="preserve">; </w:t>
      </w:r>
    </w:p>
    <w:p w14:paraId="68526851" w14:textId="77777777" w:rsidR="0087674E" w:rsidRPr="001915CC" w:rsidRDefault="00951290" w:rsidP="001915CC">
      <w:pPr>
        <w:pStyle w:val="Paragrafoelenco"/>
        <w:numPr>
          <w:ilvl w:val="0"/>
          <w:numId w:val="55"/>
        </w:numPr>
      </w:pPr>
      <w:r w:rsidRPr="001915CC">
        <w:t>gestione dei rifiuti</w:t>
      </w:r>
      <w:r w:rsidR="0087674E" w:rsidRPr="001915CC">
        <w:t xml:space="preserve">; </w:t>
      </w:r>
    </w:p>
    <w:p w14:paraId="66AC4955" w14:textId="66E13245" w:rsidR="00951290" w:rsidRPr="001915CC" w:rsidRDefault="00951290" w:rsidP="001915CC">
      <w:pPr>
        <w:pStyle w:val="Paragrafoelenco"/>
        <w:numPr>
          <w:ilvl w:val="0"/>
          <w:numId w:val="55"/>
        </w:numPr>
      </w:pPr>
      <w:r w:rsidRPr="001915CC">
        <w:t xml:space="preserve">pianificazione urbanistica. </w:t>
      </w:r>
    </w:p>
    <w:p w14:paraId="3F0A5141" w14:textId="1096BD75" w:rsidR="0087674E" w:rsidRPr="001915CC" w:rsidRDefault="0087674E" w:rsidP="001915CC">
      <w:r w:rsidRPr="001915CC">
        <w:t>O</w:t>
      </w:r>
      <w:r w:rsidR="00951290" w:rsidRPr="001915CC">
        <w:t>ltre a</w:t>
      </w:r>
      <w:r w:rsidRPr="001915CC">
        <w:t xml:space="preserve"> quelle </w:t>
      </w:r>
      <w:r w:rsidR="00951290" w:rsidRPr="001915CC">
        <w:t xml:space="preserve">elencate dal PNA, </w:t>
      </w:r>
      <w:r w:rsidRPr="001915CC">
        <w:t xml:space="preserve">è stata prevista </w:t>
      </w:r>
      <w:r w:rsidR="00951290" w:rsidRPr="001915CC">
        <w:t xml:space="preserve">una ulteriore </w:t>
      </w:r>
      <w:r w:rsidRPr="001915CC">
        <w:t xml:space="preserve">area di rischio </w:t>
      </w:r>
      <w:r w:rsidR="00951290" w:rsidRPr="001915CC">
        <w:t>denominat</w:t>
      </w:r>
      <w:r w:rsidR="0055601F" w:rsidRPr="001915CC">
        <w:t>a</w:t>
      </w:r>
      <w:r w:rsidR="00951290" w:rsidRPr="001915CC">
        <w:t xml:space="preserve"> Altri servizi. </w:t>
      </w:r>
    </w:p>
    <w:p w14:paraId="09E752DC" w14:textId="3966084F" w:rsidR="00951290" w:rsidRPr="001915CC" w:rsidRDefault="00951290" w:rsidP="001915CC">
      <w:r w:rsidRPr="001915CC">
        <w:t>Altri servizi è un sottoinsieme che riunisce processi tipici degli enti territoriali, in genere privi di rilevanza economica e difficilmente riconducibili ad una delle aree proposte dal PNA</w:t>
      </w:r>
      <w:r w:rsidR="0087674E" w:rsidRPr="001915CC">
        <w:t xml:space="preserve"> (</w:t>
      </w:r>
      <w:r w:rsidRPr="001915CC">
        <w:t>quali</w:t>
      </w:r>
      <w:r w:rsidR="0087674E" w:rsidRPr="001915CC">
        <w:t>,</w:t>
      </w:r>
      <w:r w:rsidRPr="001915CC">
        <w:t xml:space="preserve"> ad esempio</w:t>
      </w:r>
      <w:r w:rsidR="0087674E" w:rsidRPr="001915CC">
        <w:t xml:space="preserve">, la </w:t>
      </w:r>
      <w:r w:rsidRPr="001915CC">
        <w:t>gestione del protocollo</w:t>
      </w:r>
      <w:r w:rsidR="0087674E" w:rsidRPr="001915CC">
        <w:t xml:space="preserve"> o il </w:t>
      </w:r>
      <w:r w:rsidRPr="001915CC">
        <w:t xml:space="preserve">funzionamento degli organi di governo, delle commissioni, </w:t>
      </w:r>
      <w:r w:rsidR="0087674E" w:rsidRPr="001915CC">
        <w:t>l’</w:t>
      </w:r>
      <w:r w:rsidRPr="001915CC">
        <w:t>istruttoria delle deliberazioni e delle determinazioni, ecc.</w:t>
      </w:r>
      <w:r w:rsidR="0087674E" w:rsidRPr="001915CC">
        <w:t xml:space="preserve">). </w:t>
      </w:r>
    </w:p>
    <w:p w14:paraId="3146DB11" w14:textId="156E7565" w:rsidR="00841AB7" w:rsidRPr="00860921" w:rsidRDefault="00841AB7" w:rsidP="00860921">
      <w:pPr>
        <w:rPr>
          <w:rFonts w:cs="Arial"/>
          <w:bCs/>
          <w:color w:val="EE0000"/>
          <w:sz w:val="24"/>
          <w:szCs w:val="24"/>
        </w:rPr>
      </w:pPr>
    </w:p>
    <w:p w14:paraId="064EDA1F" w14:textId="40B50B5A" w:rsidR="00E74793" w:rsidRPr="00860921" w:rsidRDefault="00960D5B" w:rsidP="001915CC">
      <w:pPr>
        <w:pStyle w:val="Titolo1"/>
      </w:pPr>
      <w:bookmarkStart w:id="37" w:name="_Toc87523799"/>
      <w:bookmarkStart w:id="38" w:name="_Toc97543233"/>
      <w:bookmarkStart w:id="39" w:name="_Toc150499193"/>
      <w:r w:rsidRPr="00860921">
        <w:t>V</w:t>
      </w:r>
      <w:r w:rsidR="00E74793" w:rsidRPr="00860921">
        <w:t xml:space="preserve">alutazione </w:t>
      </w:r>
      <w:r w:rsidR="00341911" w:rsidRPr="00860921">
        <w:t>del rischio</w:t>
      </w:r>
      <w:bookmarkEnd w:id="37"/>
      <w:bookmarkEnd w:id="38"/>
      <w:bookmarkEnd w:id="39"/>
    </w:p>
    <w:p w14:paraId="276AABE3" w14:textId="7B05F8FE" w:rsidR="00182924" w:rsidRPr="00860921" w:rsidRDefault="00CF4101" w:rsidP="001915CC">
      <w:bookmarkStart w:id="40" w:name="_Hlk120617414"/>
      <w:r w:rsidRPr="00860921">
        <w:t>La valutazione del rischio è la macro-fase del processo di gestione in cui il rischio stesso è identificato, analizzato e confrontato con altri rischi, al fine di individuare le priorità di intervento e le possibili misure organizzative.</w:t>
      </w:r>
      <w:r w:rsidR="0031562C" w:rsidRPr="00860921">
        <w:t xml:space="preserve"> </w:t>
      </w:r>
      <w:r w:rsidRPr="00860921">
        <w:t xml:space="preserve">Si articola in tre fasi: identificazione, analisi e ponderazione. </w:t>
      </w:r>
    </w:p>
    <w:p w14:paraId="7B69DEE7" w14:textId="77777777" w:rsidR="0031562C" w:rsidRPr="00860921" w:rsidRDefault="0031562C" w:rsidP="00860921">
      <w:pPr>
        <w:rPr>
          <w:rFonts w:cs="Arial"/>
          <w:bCs/>
          <w:color w:val="002060"/>
          <w:sz w:val="24"/>
          <w:szCs w:val="24"/>
        </w:rPr>
      </w:pPr>
    </w:p>
    <w:p w14:paraId="4250ED7F" w14:textId="37643CC5" w:rsidR="00DC02CC" w:rsidRPr="00860921" w:rsidRDefault="00DC02CC" w:rsidP="001915CC">
      <w:pPr>
        <w:pStyle w:val="Titolo3"/>
      </w:pPr>
      <w:bookmarkStart w:id="41" w:name="_Toc87523800"/>
      <w:bookmarkStart w:id="42" w:name="_Toc97543234"/>
      <w:bookmarkStart w:id="43" w:name="_Toc150499194"/>
      <w:bookmarkEnd w:id="40"/>
      <w:r w:rsidRPr="00860921">
        <w:t>Identificazione</w:t>
      </w:r>
      <w:bookmarkEnd w:id="41"/>
      <w:r w:rsidR="00BF2F72" w:rsidRPr="00860921">
        <w:t xml:space="preserve"> del rischio</w:t>
      </w:r>
      <w:bookmarkEnd w:id="42"/>
      <w:bookmarkEnd w:id="43"/>
    </w:p>
    <w:p w14:paraId="13C9852E" w14:textId="406DDD16" w:rsidR="00395E3E" w:rsidRPr="001915CC" w:rsidRDefault="00395E3E" w:rsidP="001915CC">
      <w:r w:rsidRPr="001915CC">
        <w:t xml:space="preserve">L’identificazione individua comportamenti </w:t>
      </w:r>
      <w:r w:rsidR="00C06D8A" w:rsidRPr="001915CC">
        <w:t>e</w:t>
      </w:r>
      <w:r w:rsidRPr="001915CC">
        <w:t xml:space="preserve"> fatti che possono verificarsi in relazione ai processi</w:t>
      </w:r>
      <w:r w:rsidR="00C06D8A" w:rsidRPr="001915CC">
        <w:t xml:space="preserve"> mappati</w:t>
      </w:r>
      <w:r w:rsidRPr="001915CC">
        <w:t xml:space="preserve">, tramite i quali si concretizza il fenomeno corruttivo.  </w:t>
      </w:r>
      <w:r w:rsidR="00C06D8A" w:rsidRPr="001915CC">
        <w:t>D</w:t>
      </w:r>
      <w:r w:rsidRPr="001915CC">
        <w:t>eve portare</w:t>
      </w:r>
      <w:r w:rsidR="00C06D8A" w:rsidRPr="001915CC">
        <w:t>,</w:t>
      </w:r>
      <w:r w:rsidRPr="001915CC">
        <w:t xml:space="preserve"> con gradualità</w:t>
      </w:r>
      <w:r w:rsidR="00C06D8A" w:rsidRPr="001915CC">
        <w:t>,</w:t>
      </w:r>
      <w:r w:rsidRPr="001915CC">
        <w:t xml:space="preserve"> alla creazione di un Registro degli eventi rischiosi nel quale sono riportati tutti gli eventi rischiosi relativi ai processi dell’amministrazione. </w:t>
      </w:r>
    </w:p>
    <w:p w14:paraId="11416E66" w14:textId="77777777" w:rsidR="00C06D8A" w:rsidRPr="001915CC" w:rsidRDefault="00395E3E" w:rsidP="001915CC">
      <w:r w:rsidRPr="001915CC">
        <w:t>Il Registro degli eventi rischiosi, o Catalogo dei rischi principali, è riportato</w:t>
      </w:r>
      <w:r w:rsidR="00C06D8A" w:rsidRPr="001915CC">
        <w:t xml:space="preserve"> nelle schede allegate denominate: </w:t>
      </w:r>
    </w:p>
    <w:p w14:paraId="0A5A0549" w14:textId="3582978E" w:rsidR="00C06D8A" w:rsidRPr="001915CC" w:rsidRDefault="00C06D8A" w:rsidP="001915CC">
      <w:r w:rsidRPr="001915CC">
        <w:t>A- Mappatura dei processi e catalogo dei rischi (</w:t>
      </w:r>
      <w:r w:rsidR="00FA2299" w:rsidRPr="001915CC">
        <w:t xml:space="preserve">cfr. </w:t>
      </w:r>
      <w:r w:rsidRPr="001915CC">
        <w:t xml:space="preserve">colonna </w:t>
      </w:r>
      <w:r w:rsidR="00FA2299" w:rsidRPr="001915CC">
        <w:t xml:space="preserve">G, Catalogo dei rischi principali); </w:t>
      </w:r>
    </w:p>
    <w:p w14:paraId="1EBFE403" w14:textId="2D01FC90" w:rsidR="00FA2299" w:rsidRPr="001915CC" w:rsidRDefault="00FA2299" w:rsidP="001915CC">
      <w:r w:rsidRPr="001915CC">
        <w:t>B- Analisi dei rischi (cfr. colonna B, Catalogo dei rischi principali).</w:t>
      </w:r>
    </w:p>
    <w:p w14:paraId="048BFA86" w14:textId="0588EA0F" w:rsidR="006B2DCA" w:rsidRPr="00860921" w:rsidRDefault="00DC02CC" w:rsidP="001915CC">
      <w:r w:rsidRPr="00860921">
        <w:t xml:space="preserve">Per individuare eventi rischiosi è necessario: </w:t>
      </w:r>
      <w:r w:rsidR="006B2DCA" w:rsidRPr="00860921">
        <w:t>definire l’oggetto di analisi; utilizzare tecniche di identificazione e una pluralità di fonti informative; individuare i rischi.</w:t>
      </w:r>
    </w:p>
    <w:p w14:paraId="42F6C446" w14:textId="13733247" w:rsidR="00216D88" w:rsidRPr="00860921" w:rsidRDefault="00E83BCD" w:rsidP="001915CC">
      <w:r w:rsidRPr="00860921">
        <w:rPr>
          <w:b/>
        </w:rPr>
        <w:t xml:space="preserve">a) </w:t>
      </w:r>
      <w:r w:rsidR="00C7525D" w:rsidRPr="00860921">
        <w:rPr>
          <w:b/>
        </w:rPr>
        <w:t>L</w:t>
      </w:r>
      <w:r w:rsidR="00182924" w:rsidRPr="00860921">
        <w:rPr>
          <w:b/>
        </w:rPr>
        <w:t>’oggetto d</w:t>
      </w:r>
      <w:r w:rsidR="00FA2299" w:rsidRPr="00860921">
        <w:rPr>
          <w:b/>
        </w:rPr>
        <w:t>ell’</w:t>
      </w:r>
      <w:r w:rsidR="00182924" w:rsidRPr="00860921">
        <w:rPr>
          <w:b/>
        </w:rPr>
        <w:t>analisi</w:t>
      </w:r>
      <w:r w:rsidR="00E25731" w:rsidRPr="00860921">
        <w:rPr>
          <w:b/>
        </w:rPr>
        <w:t>:</w:t>
      </w:r>
      <w:r w:rsidR="008D0804" w:rsidRPr="00860921">
        <w:t xml:space="preserve"> è </w:t>
      </w:r>
      <w:r w:rsidR="00182924" w:rsidRPr="00860921">
        <w:t>l’unità di riferimento rispetto al</w:t>
      </w:r>
      <w:r w:rsidR="008D0804" w:rsidRPr="00860921">
        <w:t>la</w:t>
      </w:r>
      <w:r w:rsidR="00182924" w:rsidRPr="00860921">
        <w:t xml:space="preserve"> quale individuare gli eventi rischiosi. </w:t>
      </w:r>
      <w:r w:rsidR="00431D13" w:rsidRPr="00860921">
        <w:t>L</w:t>
      </w:r>
      <w:r w:rsidR="00216D88" w:rsidRPr="00860921">
        <w:t>’oggetto di analisi può essere: l’intero processo</w:t>
      </w:r>
      <w:r w:rsidR="00431D13" w:rsidRPr="00860921">
        <w:t xml:space="preserve">, </w:t>
      </w:r>
      <w:r w:rsidR="00216D88" w:rsidRPr="00860921">
        <w:t xml:space="preserve">le singole attività </w:t>
      </w:r>
      <w:r w:rsidR="00BC15ED" w:rsidRPr="00860921">
        <w:t>che compongono ciascun processo.</w:t>
      </w:r>
      <w:r w:rsidR="00216D88" w:rsidRPr="00860921">
        <w:t xml:space="preserve"> </w:t>
      </w:r>
    </w:p>
    <w:p w14:paraId="074D81D7" w14:textId="77777777" w:rsidR="001915CC" w:rsidRPr="00F444B6" w:rsidRDefault="001915CC" w:rsidP="001915CC">
      <w:pPr>
        <w:rPr>
          <w:rFonts w:cs="Times New Roman"/>
          <w:bCs/>
        </w:rPr>
      </w:pPr>
      <w:r w:rsidRPr="00F444B6">
        <w:rPr>
          <w:rFonts w:cs="Times New Roman"/>
          <w:bCs/>
        </w:rPr>
        <w:t xml:space="preserve">Data la dimensione organizzativa contenuta dell’ente, l’analisi è stata condotta per singoli “processi”, senza scomporre gli stessi in “attività”. </w:t>
      </w:r>
    </w:p>
    <w:p w14:paraId="083102F0" w14:textId="02D99FFB" w:rsidR="00FA2299" w:rsidRPr="00860921" w:rsidRDefault="00FA2299" w:rsidP="001915CC">
      <w:r w:rsidRPr="00860921">
        <w:t>Le schede allegate</w:t>
      </w:r>
      <w:r w:rsidR="00F23B25" w:rsidRPr="00860921">
        <w:t xml:space="preserve"> al presente recano mappatura, analisi e trattamento dei processi amministrativi</w:t>
      </w:r>
      <w:r w:rsidRPr="00860921">
        <w:t xml:space="preserve">: </w:t>
      </w:r>
    </w:p>
    <w:p w14:paraId="4BD97D32" w14:textId="2498DF5F" w:rsidR="00FA2299" w:rsidRPr="00860921" w:rsidRDefault="00FA2299" w:rsidP="001915CC">
      <w:r w:rsidRPr="00860921">
        <w:t xml:space="preserve">A- Mappatura dei processi e catalogo dei rischi, </w:t>
      </w:r>
    </w:p>
    <w:p w14:paraId="71A4C486" w14:textId="7B8375BA" w:rsidR="00FA2299" w:rsidRPr="00860921" w:rsidRDefault="00FA2299" w:rsidP="001915CC">
      <w:r w:rsidRPr="00860921">
        <w:t>B- Analisi dei rischi,</w:t>
      </w:r>
    </w:p>
    <w:p w14:paraId="0EDC5653" w14:textId="10014990" w:rsidR="001B2845" w:rsidRPr="00860921" w:rsidRDefault="00FA2299" w:rsidP="001915CC">
      <w:r w:rsidRPr="00860921">
        <w:t>C- Graduazione dei rischi</w:t>
      </w:r>
      <w:r w:rsidR="00F23B25" w:rsidRPr="00860921">
        <w:t xml:space="preserve"> e</w:t>
      </w:r>
      <w:r w:rsidRPr="00860921">
        <w:t xml:space="preserve"> individuazione delle misure</w:t>
      </w:r>
      <w:r w:rsidR="00F23B25" w:rsidRPr="00860921">
        <w:t xml:space="preserve">. </w:t>
      </w:r>
    </w:p>
    <w:p w14:paraId="1F4207A0" w14:textId="5DEADDCC" w:rsidR="00F851D0" w:rsidRPr="00860921" w:rsidRDefault="00E83BCD" w:rsidP="001915CC">
      <w:r w:rsidRPr="00860921">
        <w:rPr>
          <w:b/>
        </w:rPr>
        <w:t xml:space="preserve">b) </w:t>
      </w:r>
      <w:r w:rsidR="00271509" w:rsidRPr="00860921">
        <w:rPr>
          <w:b/>
        </w:rPr>
        <w:t>T</w:t>
      </w:r>
      <w:r w:rsidR="00182924" w:rsidRPr="00860921">
        <w:rPr>
          <w:b/>
        </w:rPr>
        <w:t xml:space="preserve">ecniche e </w:t>
      </w:r>
      <w:r w:rsidR="00271509" w:rsidRPr="00860921">
        <w:rPr>
          <w:b/>
        </w:rPr>
        <w:t>f</w:t>
      </w:r>
      <w:r w:rsidR="00182924" w:rsidRPr="00860921">
        <w:rPr>
          <w:b/>
        </w:rPr>
        <w:t>onti informative</w:t>
      </w:r>
      <w:r w:rsidR="00C52A3D" w:rsidRPr="00860921">
        <w:t>:</w:t>
      </w:r>
      <w:r w:rsidR="00C52A3D" w:rsidRPr="00860921">
        <w:rPr>
          <w:b/>
        </w:rPr>
        <w:t xml:space="preserve"> </w:t>
      </w:r>
      <w:r w:rsidR="00C52A3D" w:rsidRPr="00860921">
        <w:t>p</w:t>
      </w:r>
      <w:r w:rsidR="00182924" w:rsidRPr="00860921">
        <w:t>er identifica</w:t>
      </w:r>
      <w:r w:rsidR="00F851D0" w:rsidRPr="00860921">
        <w:t xml:space="preserve">re </w:t>
      </w:r>
      <w:r w:rsidR="00182924" w:rsidRPr="00860921">
        <w:t>gli eventi rischiosi è opportuno utilizz</w:t>
      </w:r>
      <w:r w:rsidR="009C1B28" w:rsidRPr="00860921">
        <w:t xml:space="preserve">are </w:t>
      </w:r>
      <w:r w:rsidR="00182924" w:rsidRPr="00860921">
        <w:t>una pluralità di tecniche e prend</w:t>
      </w:r>
      <w:r w:rsidR="009C1B28" w:rsidRPr="00860921">
        <w:t>ere</w:t>
      </w:r>
      <w:r w:rsidR="00182924" w:rsidRPr="00860921">
        <w:t xml:space="preserve"> in considerazione il più ampio </w:t>
      </w:r>
      <w:r w:rsidR="00BB22A9" w:rsidRPr="00860921">
        <w:t>n</w:t>
      </w:r>
      <w:r w:rsidR="009C1B28" w:rsidRPr="00860921">
        <w:t xml:space="preserve">umero </w:t>
      </w:r>
      <w:r w:rsidR="00182924" w:rsidRPr="00860921">
        <w:t>possibile di fonti.  Le tecniche sono molteplici</w:t>
      </w:r>
      <w:r w:rsidR="00BC15ED" w:rsidRPr="00860921">
        <w:t>, quali</w:t>
      </w:r>
      <w:r w:rsidR="00F851D0" w:rsidRPr="00860921">
        <w:t xml:space="preserve">: </w:t>
      </w:r>
      <w:r w:rsidR="00182924" w:rsidRPr="00860921">
        <w:t xml:space="preserve">l’analisi di documenti e di banche dati, l’esame delle segnalazioni, </w:t>
      </w:r>
      <w:r w:rsidR="00BC15ED" w:rsidRPr="00860921">
        <w:t xml:space="preserve">le </w:t>
      </w:r>
      <w:r w:rsidR="00182924" w:rsidRPr="00860921">
        <w:t>intervist</w:t>
      </w:r>
      <w:r w:rsidR="00F851D0" w:rsidRPr="00860921">
        <w:t xml:space="preserve">e e </w:t>
      </w:r>
      <w:r w:rsidR="00BC15ED" w:rsidRPr="00860921">
        <w:t xml:space="preserve">gli </w:t>
      </w:r>
      <w:r w:rsidR="00182924" w:rsidRPr="00860921">
        <w:t>incontri con il personale, workshop e focus group, confronti con amministrazioni simili</w:t>
      </w:r>
      <w:r w:rsidR="00F851D0" w:rsidRPr="00860921">
        <w:t xml:space="preserve"> (benchmarking)</w:t>
      </w:r>
      <w:r w:rsidR="00182924" w:rsidRPr="00860921">
        <w:t>, analisi dei casi di corruzione, ecc.</w:t>
      </w:r>
    </w:p>
    <w:p w14:paraId="2BC7AECE" w14:textId="77777777" w:rsidR="001915CC" w:rsidRPr="006129BF" w:rsidRDefault="001915CC" w:rsidP="001915CC">
      <w:r w:rsidRPr="00F444B6">
        <w:t xml:space="preserve">Le tecniche adottate per identificare gli eventi rischiosi si sono concentrate sull’analisi di </w:t>
      </w:r>
      <w:r w:rsidRPr="00F444B6">
        <w:rPr>
          <w:rFonts w:cs="Times New Roman"/>
          <w:bCs/>
        </w:rPr>
        <w:t xml:space="preserve">casi giudiziari e di altri episodi di corruzione o cattiva gestione di </w:t>
      </w:r>
      <w:r w:rsidRPr="00F444B6">
        <w:t>amministrazioni confinanti e del territorio circostante. Si è proceduto all’intervista del personale, che ha diretta conoscenza di processi rischiosi e delle relative criticità.</w:t>
      </w:r>
      <w:r>
        <w:t xml:space="preserve"> Inoltre, dall’analisi del contesto esterno, effettuata attraverso la consultazione di documenti e banche dati, si sono identificati ulteriori rischi.</w:t>
      </w:r>
    </w:p>
    <w:p w14:paraId="6349C3FD" w14:textId="1AD681E8" w:rsidR="00E92BDE" w:rsidRPr="00860921" w:rsidRDefault="00E83BCD" w:rsidP="001915CC">
      <w:r w:rsidRPr="00860921">
        <w:rPr>
          <w:b/>
        </w:rPr>
        <w:t>c) L’i</w:t>
      </w:r>
      <w:r w:rsidR="00182924" w:rsidRPr="00860921">
        <w:rPr>
          <w:b/>
        </w:rPr>
        <w:t>dentificazione dei rischi</w:t>
      </w:r>
      <w:r w:rsidR="005E2AD8" w:rsidRPr="00860921">
        <w:rPr>
          <w:b/>
        </w:rPr>
        <w:t>:</w:t>
      </w:r>
      <w:r w:rsidR="005E2AD8" w:rsidRPr="00860921">
        <w:t xml:space="preserve"> </w:t>
      </w:r>
      <w:r w:rsidR="00362E7C" w:rsidRPr="00860921">
        <w:t>g</w:t>
      </w:r>
      <w:r w:rsidR="00182924" w:rsidRPr="00860921">
        <w:t>li eventi rischiosi</w:t>
      </w:r>
      <w:r w:rsidRPr="00860921">
        <w:t xml:space="preserve"> individuati</w:t>
      </w:r>
      <w:r w:rsidR="00182924" w:rsidRPr="00860921">
        <w:t xml:space="preserve"> </w:t>
      </w:r>
      <w:r w:rsidRPr="00860921">
        <w:t>sono elencati e</w:t>
      </w:r>
      <w:r w:rsidR="00182924" w:rsidRPr="00860921">
        <w:t xml:space="preserve"> documentati. </w:t>
      </w:r>
      <w:r w:rsidRPr="00860921">
        <w:t>L</w:t>
      </w:r>
      <w:r w:rsidR="00182924" w:rsidRPr="00860921">
        <w:t>a formalizzazione p</w:t>
      </w:r>
      <w:r w:rsidRPr="00860921">
        <w:t>uò</w:t>
      </w:r>
      <w:r w:rsidR="00182924" w:rsidRPr="00860921">
        <w:t xml:space="preserve"> avvenire tramite un </w:t>
      </w:r>
      <w:r w:rsidR="00BC15ED" w:rsidRPr="00860921">
        <w:t>“</w:t>
      </w:r>
      <w:r w:rsidR="00182924" w:rsidRPr="00860921">
        <w:t xml:space="preserve">registro </w:t>
      </w:r>
      <w:r w:rsidR="006914EE" w:rsidRPr="00860921">
        <w:t xml:space="preserve">o catalogo </w:t>
      </w:r>
      <w:r w:rsidR="00182924" w:rsidRPr="00860921">
        <w:t>dei rischi</w:t>
      </w:r>
      <w:r w:rsidR="00362E7C" w:rsidRPr="00860921">
        <w:t>”</w:t>
      </w:r>
      <w:r w:rsidR="00182924" w:rsidRPr="00860921">
        <w:t xml:space="preserve"> dove</w:t>
      </w:r>
      <w:r w:rsidR="00362E7C" w:rsidRPr="00860921">
        <w:t>,</w:t>
      </w:r>
      <w:r w:rsidR="00182924" w:rsidRPr="00860921">
        <w:t xml:space="preserve"> per ogni oggetto di analisi</w:t>
      </w:r>
      <w:r w:rsidR="00362E7C" w:rsidRPr="00860921">
        <w:t>, è riportata</w:t>
      </w:r>
      <w:r w:rsidR="00182924" w:rsidRPr="00860921">
        <w:t xml:space="preserve"> la descrizione di tutti gli eventi rischiosi che possono manifestarsi.  </w:t>
      </w:r>
    </w:p>
    <w:p w14:paraId="168E2753" w14:textId="149815C2" w:rsidR="00FA2299" w:rsidRPr="001915CC" w:rsidRDefault="005E2AD8" w:rsidP="001915CC">
      <w:r w:rsidRPr="001915CC">
        <w:t>Il catalogo è riportato nelle schede allegate, denominate</w:t>
      </w:r>
      <w:r w:rsidR="00FA2299" w:rsidRPr="001915CC">
        <w:t>:</w:t>
      </w:r>
    </w:p>
    <w:p w14:paraId="44CA5C1A" w14:textId="77777777" w:rsidR="00FA2299" w:rsidRPr="001915CC" w:rsidRDefault="00FA2299" w:rsidP="001915CC">
      <w:r w:rsidRPr="001915CC">
        <w:t xml:space="preserve">A- Mappatura dei processi e catalogo dei rischi (cfr. colonna G, </w:t>
      </w:r>
      <w:r w:rsidRPr="001915CC">
        <w:rPr>
          <w:i/>
          <w:iCs/>
        </w:rPr>
        <w:t>Catalogo dei rischi principali</w:t>
      </w:r>
      <w:r w:rsidRPr="001915CC">
        <w:t xml:space="preserve">); </w:t>
      </w:r>
    </w:p>
    <w:p w14:paraId="223C2B96" w14:textId="4357191A" w:rsidR="00FA2299" w:rsidRPr="001915CC" w:rsidRDefault="00FA2299" w:rsidP="001915CC">
      <w:r w:rsidRPr="001915CC">
        <w:t xml:space="preserve">B- Analisi dei rischi (cfr. colonna B, </w:t>
      </w:r>
      <w:r w:rsidRPr="001915CC">
        <w:rPr>
          <w:i/>
          <w:iCs/>
        </w:rPr>
        <w:t>Catalogo dei rischi principali</w:t>
      </w:r>
      <w:r w:rsidRPr="001915CC">
        <w:t xml:space="preserve">). </w:t>
      </w:r>
    </w:p>
    <w:p w14:paraId="6A2EA0E9" w14:textId="77777777" w:rsidR="005E2AD8" w:rsidRPr="00860921" w:rsidRDefault="005E2AD8" w:rsidP="00860921">
      <w:pPr>
        <w:rPr>
          <w:rFonts w:cs="Arial"/>
          <w:bCs/>
          <w:color w:val="EE0000"/>
          <w:sz w:val="24"/>
          <w:szCs w:val="24"/>
        </w:rPr>
      </w:pPr>
    </w:p>
    <w:p w14:paraId="19DFF4D2" w14:textId="4BCCF3C6" w:rsidR="006668DA" w:rsidRPr="00860921" w:rsidRDefault="006668DA" w:rsidP="001915CC">
      <w:pPr>
        <w:pStyle w:val="Titolo4"/>
      </w:pPr>
      <w:bookmarkStart w:id="44" w:name="_Toc87523801"/>
      <w:bookmarkStart w:id="45" w:name="_Toc97543235"/>
      <w:bookmarkStart w:id="46" w:name="_Toc150499195"/>
      <w:r w:rsidRPr="00860921">
        <w:t xml:space="preserve">Analisi </w:t>
      </w:r>
      <w:bookmarkEnd w:id="44"/>
      <w:r w:rsidR="003302DD" w:rsidRPr="00860921">
        <w:t>del rischio</w:t>
      </w:r>
      <w:bookmarkEnd w:id="45"/>
      <w:bookmarkEnd w:id="46"/>
    </w:p>
    <w:p w14:paraId="200DEBA9" w14:textId="52E416C8" w:rsidR="00395E3E" w:rsidRPr="00860921" w:rsidRDefault="00395E3E" w:rsidP="001915CC">
      <w:bookmarkStart w:id="47" w:name="_Hlk120617793"/>
      <w:r w:rsidRPr="00860921">
        <w:lastRenderedPageBreak/>
        <w:t>L’analisi ha il duplice obiettivo di pervenire ad una comprensione più approfondita degli eventi rischiosi, attraverso l’analisi dei fattori abilitanti della corruzione, e</w:t>
      </w:r>
      <w:r w:rsidR="00F85AF4" w:rsidRPr="00860921">
        <w:t xml:space="preserve"> </w:t>
      </w:r>
      <w:r w:rsidRPr="00860921">
        <w:t xml:space="preserve">di stimare il livello di esposizione </w:t>
      </w:r>
      <w:r w:rsidR="00F85AF4" w:rsidRPr="00860921">
        <w:t xml:space="preserve">al rischio </w:t>
      </w:r>
      <w:r w:rsidRPr="00860921">
        <w:t xml:space="preserve">dei processi. </w:t>
      </w:r>
      <w:r w:rsidR="00B327BB" w:rsidRPr="00860921">
        <w:t xml:space="preserve">Per svolgere </w:t>
      </w:r>
      <w:r w:rsidRPr="00860921">
        <w:t xml:space="preserve">l’analisi è quindi necessario: </w:t>
      </w:r>
    </w:p>
    <w:p w14:paraId="511665DF" w14:textId="2B6DF503" w:rsidR="00395E3E" w:rsidRPr="00860921" w:rsidRDefault="00395E3E" w:rsidP="001915CC">
      <w:pPr>
        <w:pStyle w:val="Paragrafoelenco"/>
        <w:numPr>
          <w:ilvl w:val="0"/>
          <w:numId w:val="56"/>
        </w:numPr>
      </w:pPr>
      <w:r w:rsidRPr="00860921">
        <w:t xml:space="preserve">scegliere l’approccio valutativo, accompagnato da adeguate documentazioni e motivazioni rispetto ad un’impostazione quantitativa che prevede l’attribuzione di punteggi; </w:t>
      </w:r>
    </w:p>
    <w:p w14:paraId="634EEDAF" w14:textId="44961D0A" w:rsidR="00395E3E" w:rsidRPr="00860921" w:rsidRDefault="00395E3E" w:rsidP="001915CC">
      <w:pPr>
        <w:pStyle w:val="Paragrafoelenco"/>
        <w:numPr>
          <w:ilvl w:val="0"/>
          <w:numId w:val="56"/>
        </w:numPr>
      </w:pPr>
      <w:r w:rsidRPr="00860921">
        <w:t xml:space="preserve">individuare i criteri di valutazione; </w:t>
      </w:r>
    </w:p>
    <w:p w14:paraId="66012BF6" w14:textId="53B9F584" w:rsidR="00395E3E" w:rsidRPr="00860921" w:rsidRDefault="00395E3E" w:rsidP="001915CC">
      <w:pPr>
        <w:pStyle w:val="Paragrafoelenco"/>
        <w:numPr>
          <w:ilvl w:val="0"/>
          <w:numId w:val="56"/>
        </w:numPr>
      </w:pPr>
      <w:r w:rsidRPr="00860921">
        <w:t xml:space="preserve">rilevare i dati e le informazioni; </w:t>
      </w:r>
    </w:p>
    <w:p w14:paraId="560070F4" w14:textId="15EAA03F" w:rsidR="00395E3E" w:rsidRPr="00860921" w:rsidRDefault="00395E3E" w:rsidP="001915CC">
      <w:pPr>
        <w:pStyle w:val="Paragrafoelenco"/>
        <w:numPr>
          <w:ilvl w:val="0"/>
          <w:numId w:val="56"/>
        </w:numPr>
      </w:pPr>
      <w:r w:rsidRPr="00860921">
        <w:t>formulare un giudizio sintetico, adeguatamente motivato</w:t>
      </w:r>
      <w:r w:rsidR="00197C63" w:rsidRPr="00860921">
        <w:t xml:space="preserve">. </w:t>
      </w:r>
    </w:p>
    <w:bookmarkEnd w:id="47"/>
    <w:p w14:paraId="2C3920F5" w14:textId="77777777" w:rsidR="00395E3E" w:rsidRPr="00860921" w:rsidRDefault="00395E3E" w:rsidP="00860921">
      <w:pPr>
        <w:rPr>
          <w:rFonts w:cs="Arial"/>
          <w:bCs/>
          <w:sz w:val="24"/>
          <w:szCs w:val="24"/>
        </w:rPr>
      </w:pPr>
    </w:p>
    <w:p w14:paraId="111506C5" w14:textId="77777777" w:rsidR="00B361C1" w:rsidRPr="00860921" w:rsidRDefault="00B361C1" w:rsidP="001915CC">
      <w:pPr>
        <w:pStyle w:val="Titolo4"/>
      </w:pPr>
      <w:bookmarkStart w:id="48" w:name="_Toc97543236"/>
      <w:bookmarkStart w:id="49" w:name="_Toc150499196"/>
      <w:r w:rsidRPr="00860921">
        <w:t>S</w:t>
      </w:r>
      <w:r w:rsidR="00AE675F" w:rsidRPr="00860921">
        <w:t>celta dell’approccio valutativ</w:t>
      </w:r>
      <w:r w:rsidRPr="00860921">
        <w:t>o</w:t>
      </w:r>
      <w:bookmarkEnd w:id="48"/>
      <w:bookmarkEnd w:id="49"/>
      <w:r w:rsidRPr="00860921">
        <w:t xml:space="preserve"> </w:t>
      </w:r>
    </w:p>
    <w:p w14:paraId="530B6C51" w14:textId="28FB6973" w:rsidR="005D438E" w:rsidRPr="001915CC" w:rsidRDefault="00B361C1" w:rsidP="001915CC">
      <w:r w:rsidRPr="001915CC">
        <w:t>P</w:t>
      </w:r>
      <w:r w:rsidR="005D438E" w:rsidRPr="001915CC">
        <w:t>er stimare l’esposizione ai rischi</w:t>
      </w:r>
      <w:r w:rsidR="006544D1" w:rsidRPr="001915CC">
        <w:t>, l’approccio</w:t>
      </w:r>
      <w:r w:rsidR="005D438E" w:rsidRPr="001915CC">
        <w:t xml:space="preserve"> può essere </w:t>
      </w:r>
      <w:r w:rsidR="00E510E0" w:rsidRPr="001915CC">
        <w:t xml:space="preserve">di tipo </w:t>
      </w:r>
      <w:r w:rsidR="005D438E" w:rsidRPr="001915CC">
        <w:t>qualitativo</w:t>
      </w:r>
      <w:r w:rsidR="00AE675F" w:rsidRPr="001915CC">
        <w:t xml:space="preserve">, </w:t>
      </w:r>
      <w:r w:rsidR="005D438E" w:rsidRPr="001915CC">
        <w:t>quantitativo</w:t>
      </w:r>
      <w:r w:rsidR="00E510E0" w:rsidRPr="001915CC">
        <w:t xml:space="preserve">, oppure </w:t>
      </w:r>
      <w:r w:rsidR="00AE675F" w:rsidRPr="001915CC">
        <w:t xml:space="preserve">di tipo misto </w:t>
      </w:r>
      <w:r w:rsidR="00E510E0" w:rsidRPr="001915CC">
        <w:t>tra i due.</w:t>
      </w:r>
      <w:r w:rsidR="005D438E" w:rsidRPr="001915CC">
        <w:t xml:space="preserve">   </w:t>
      </w:r>
    </w:p>
    <w:p w14:paraId="7847349E" w14:textId="2A657288" w:rsidR="005D438E" w:rsidRPr="001915CC" w:rsidRDefault="003A6689" w:rsidP="001915CC">
      <w:r w:rsidRPr="001915CC">
        <w:rPr>
          <w:iCs/>
        </w:rPr>
        <w:t>Q</w:t>
      </w:r>
      <w:r w:rsidR="005D438E" w:rsidRPr="001915CC">
        <w:rPr>
          <w:iCs/>
        </w:rPr>
        <w:t>ualitativo</w:t>
      </w:r>
      <w:r w:rsidR="006544D1" w:rsidRPr="001915CC">
        <w:rPr>
          <w:iCs/>
        </w:rPr>
        <w:t>:</w:t>
      </w:r>
      <w:r w:rsidR="006544D1" w:rsidRPr="001915CC">
        <w:t xml:space="preserve"> </w:t>
      </w:r>
      <w:r w:rsidR="005D438E" w:rsidRPr="001915CC">
        <w:t xml:space="preserve">l’esposizione al rischio è stimata in base a motivate valutazioni, espresse dai soggetti coinvolti nell’analisi, su specifici criteri. Tali valutazioni, anche se supportate da dati, </w:t>
      </w:r>
      <w:r w:rsidR="006544D1" w:rsidRPr="001915CC">
        <w:t xml:space="preserve">in genere </w:t>
      </w:r>
      <w:r w:rsidR="005D438E" w:rsidRPr="001915CC">
        <w:t xml:space="preserve">non prevedono </w:t>
      </w:r>
      <w:r w:rsidR="006544D1" w:rsidRPr="001915CC">
        <w:t xml:space="preserve">una </w:t>
      </w:r>
      <w:r w:rsidR="005D438E" w:rsidRPr="001915CC">
        <w:t>rappresentazione</w:t>
      </w:r>
      <w:r w:rsidR="00E510E0" w:rsidRPr="001915CC">
        <w:t xml:space="preserve"> di sintesi</w:t>
      </w:r>
      <w:r w:rsidR="005D438E" w:rsidRPr="001915CC">
        <w:t xml:space="preserve"> in termini numerici.   </w:t>
      </w:r>
    </w:p>
    <w:p w14:paraId="5EBA7F64" w14:textId="4F77657B" w:rsidR="005D438E" w:rsidRPr="001915CC" w:rsidRDefault="003A6689" w:rsidP="001915CC">
      <w:r w:rsidRPr="001915CC">
        <w:rPr>
          <w:iCs/>
        </w:rPr>
        <w:t>Q</w:t>
      </w:r>
      <w:r w:rsidR="006544D1" w:rsidRPr="001915CC">
        <w:rPr>
          <w:iCs/>
        </w:rPr>
        <w:t>uantitativo:</w:t>
      </w:r>
      <w:r w:rsidR="006544D1" w:rsidRPr="001915CC">
        <w:t xml:space="preserve"> </w:t>
      </w:r>
      <w:r w:rsidR="005D438E" w:rsidRPr="001915CC">
        <w:t xml:space="preserve">nell’approccio di tipo quantitativo si utilizzano analisi </w:t>
      </w:r>
      <w:r w:rsidRPr="001915CC">
        <w:t xml:space="preserve">numeriche </w:t>
      </w:r>
      <w:r w:rsidR="005D438E" w:rsidRPr="001915CC">
        <w:t xml:space="preserve">o matematiche per quantificare </w:t>
      </w:r>
      <w:r w:rsidR="006544D1" w:rsidRPr="001915CC">
        <w:t xml:space="preserve">il </w:t>
      </w:r>
      <w:r w:rsidR="005D438E" w:rsidRPr="001915CC">
        <w:t xml:space="preserve">rischio.  </w:t>
      </w:r>
    </w:p>
    <w:p w14:paraId="33B6120B" w14:textId="23BDCCFD" w:rsidR="006544D1" w:rsidRPr="001915CC" w:rsidRDefault="006C640D" w:rsidP="001915CC">
      <w:r w:rsidRPr="001915CC">
        <w:t>L</w:t>
      </w:r>
      <w:r w:rsidR="006544D1" w:rsidRPr="001915CC">
        <w:t>’ANAC</w:t>
      </w:r>
      <w:r w:rsidRPr="001915CC">
        <w:t xml:space="preserve"> </w:t>
      </w:r>
      <w:r w:rsidR="00217FAC" w:rsidRPr="001915CC">
        <w:t xml:space="preserve">predilige un </w:t>
      </w:r>
      <w:r w:rsidR="005D438E" w:rsidRPr="001915CC">
        <w:t xml:space="preserve">approccio </w:t>
      </w:r>
      <w:r w:rsidR="005D438E" w:rsidRPr="001915CC">
        <w:rPr>
          <w:i/>
          <w:iCs/>
        </w:rPr>
        <w:t>qualitativo</w:t>
      </w:r>
      <w:r w:rsidR="00217FAC" w:rsidRPr="001915CC">
        <w:t xml:space="preserve"> che dia</w:t>
      </w:r>
      <w:r w:rsidR="005D438E" w:rsidRPr="001915CC">
        <w:t xml:space="preserve"> spazio alla motivazione della valutazione</w:t>
      </w:r>
      <w:r w:rsidR="00217FAC" w:rsidRPr="001915CC">
        <w:t xml:space="preserve">, </w:t>
      </w:r>
      <w:r w:rsidR="005D438E" w:rsidRPr="001915CC">
        <w:t>garantendo la massima trasparenza.</w:t>
      </w:r>
    </w:p>
    <w:p w14:paraId="7884BBA1" w14:textId="77777777" w:rsidR="00B361C1" w:rsidRPr="00860921" w:rsidRDefault="00B361C1" w:rsidP="00860921">
      <w:pPr>
        <w:rPr>
          <w:rFonts w:cs="Arial"/>
          <w:bCs/>
          <w:sz w:val="24"/>
          <w:szCs w:val="24"/>
        </w:rPr>
      </w:pPr>
    </w:p>
    <w:p w14:paraId="11B0713A" w14:textId="77777777" w:rsidR="00B361C1" w:rsidRPr="00860921" w:rsidRDefault="00AE675F" w:rsidP="001915CC">
      <w:pPr>
        <w:pStyle w:val="Titolo4"/>
      </w:pPr>
      <w:bookmarkStart w:id="50" w:name="_Toc97543237"/>
      <w:bookmarkStart w:id="51" w:name="_Toc150499197"/>
      <w:r w:rsidRPr="00860921">
        <w:t>I c</w:t>
      </w:r>
      <w:r w:rsidR="005D438E" w:rsidRPr="00860921">
        <w:t>riteri di valutazione</w:t>
      </w:r>
      <w:bookmarkEnd w:id="50"/>
      <w:bookmarkEnd w:id="51"/>
    </w:p>
    <w:p w14:paraId="02FD0005" w14:textId="107908E6" w:rsidR="00890CEB" w:rsidRPr="007F1802" w:rsidRDefault="00B361C1" w:rsidP="001915CC">
      <w:pPr>
        <w:rPr>
          <w:bCs/>
        </w:rPr>
      </w:pPr>
      <w:r w:rsidRPr="00860921">
        <w:t>P</w:t>
      </w:r>
      <w:r w:rsidR="00346FFB" w:rsidRPr="00860921">
        <w:t xml:space="preserve">er </w:t>
      </w:r>
      <w:r w:rsidR="00FB61DA" w:rsidRPr="00860921">
        <w:t xml:space="preserve">poter </w:t>
      </w:r>
      <w:r w:rsidR="00346FFB" w:rsidRPr="00860921">
        <w:t>stimare il rischio</w:t>
      </w:r>
      <w:r w:rsidR="00FB61DA" w:rsidRPr="00860921">
        <w:t>,</w:t>
      </w:r>
      <w:r w:rsidR="00CF4DF2" w:rsidRPr="00860921">
        <w:t xml:space="preserve"> </w:t>
      </w:r>
      <w:r w:rsidR="00346FFB" w:rsidRPr="00860921">
        <w:t xml:space="preserve">è </w:t>
      </w:r>
      <w:r w:rsidR="005D549D" w:rsidRPr="00860921">
        <w:t>necessario d</w:t>
      </w:r>
      <w:r w:rsidR="00346FFB" w:rsidRPr="00860921">
        <w:t>efinire</w:t>
      </w:r>
      <w:r w:rsidR="005D549D" w:rsidRPr="00860921">
        <w:t xml:space="preserve"> </w:t>
      </w:r>
      <w:r w:rsidR="00346FFB" w:rsidRPr="00860921">
        <w:t>preliminar</w:t>
      </w:r>
      <w:r w:rsidR="005D549D" w:rsidRPr="00860921">
        <w:t xml:space="preserve">mente </w:t>
      </w:r>
      <w:r w:rsidR="00346FFB" w:rsidRPr="00860921">
        <w:t>indicatori del livello di esposizione al rischio di corruzione</w:t>
      </w:r>
      <w:r w:rsidR="00346FFB" w:rsidRPr="00860921">
        <w:rPr>
          <w:bCs/>
        </w:rPr>
        <w:t>.</w:t>
      </w:r>
      <w:r w:rsidR="00890CEB" w:rsidRPr="00860921">
        <w:rPr>
          <w:bCs/>
        </w:rPr>
        <w:t xml:space="preserve"> </w:t>
      </w:r>
      <w:r w:rsidR="004F3FF4" w:rsidRPr="00860921">
        <w:rPr>
          <w:bCs/>
        </w:rPr>
        <w:t>L</w:t>
      </w:r>
      <w:r w:rsidR="00346FFB" w:rsidRPr="00860921">
        <w:rPr>
          <w:bCs/>
        </w:rPr>
        <w:t>’A</w:t>
      </w:r>
      <w:r w:rsidR="0060230C" w:rsidRPr="00860921">
        <w:rPr>
          <w:bCs/>
        </w:rPr>
        <w:t xml:space="preserve">NAC </w:t>
      </w:r>
      <w:r w:rsidR="001A190F" w:rsidRPr="00860921">
        <w:rPr>
          <w:bCs/>
        </w:rPr>
        <w:t xml:space="preserve">ha </w:t>
      </w:r>
      <w:r w:rsidR="00346FFB" w:rsidRPr="00860921">
        <w:rPr>
          <w:bCs/>
        </w:rPr>
        <w:t>propo</w:t>
      </w:r>
      <w:r w:rsidR="001A190F" w:rsidRPr="00860921">
        <w:rPr>
          <w:bCs/>
        </w:rPr>
        <w:t xml:space="preserve">sto </w:t>
      </w:r>
      <w:r w:rsidR="005D438E" w:rsidRPr="00860921">
        <w:rPr>
          <w:bCs/>
        </w:rPr>
        <w:t xml:space="preserve">indicatori comunemente accettati, </w:t>
      </w:r>
      <w:r w:rsidR="005D438E" w:rsidRPr="007F1802">
        <w:rPr>
          <w:bCs/>
        </w:rPr>
        <w:t xml:space="preserve">ampliabili o modificabili </w:t>
      </w:r>
      <w:r w:rsidR="004F3FF4" w:rsidRPr="007F1802">
        <w:rPr>
          <w:bCs/>
        </w:rPr>
        <w:t xml:space="preserve">(PNA 2019, Allegato n. 1). </w:t>
      </w:r>
    </w:p>
    <w:p w14:paraId="6C97D0ED" w14:textId="3F67BAE5" w:rsidR="005D438E" w:rsidRPr="007F1802" w:rsidRDefault="00960D5B" w:rsidP="007F1802">
      <w:pPr>
        <w:rPr>
          <w:bCs/>
        </w:rPr>
      </w:pPr>
      <w:r w:rsidRPr="007F1802">
        <w:rPr>
          <w:bCs/>
        </w:rPr>
        <w:t xml:space="preserve">Gli indicatori </w:t>
      </w:r>
      <w:r w:rsidR="00890CEB" w:rsidRPr="007F1802">
        <w:rPr>
          <w:bCs/>
        </w:rPr>
        <w:t>proposti dall’Autorità sono stati parzialmente adattati. Gli indicatori effettivamente utilizzati sono</w:t>
      </w:r>
      <w:r w:rsidR="00FB61DA" w:rsidRPr="007F1802">
        <w:rPr>
          <w:bCs/>
        </w:rPr>
        <w:t xml:space="preserve"> riportati nell’allegato denominato B – Analisi dei rischi (colonne C-H).</w:t>
      </w:r>
      <w:r w:rsidR="00890CEB" w:rsidRPr="007F1802">
        <w:rPr>
          <w:bCs/>
        </w:rPr>
        <w:t xml:space="preserve"> </w:t>
      </w:r>
    </w:p>
    <w:p w14:paraId="1736FCED" w14:textId="3CDB3314" w:rsidR="00346FFB" w:rsidRPr="007F1802" w:rsidRDefault="00FB61DA" w:rsidP="007F1802">
      <w:pPr>
        <w:pStyle w:val="Paragrafoelenco"/>
        <w:numPr>
          <w:ilvl w:val="0"/>
          <w:numId w:val="57"/>
        </w:numPr>
        <w:rPr>
          <w:bCs/>
        </w:rPr>
      </w:pPr>
      <w:r w:rsidRPr="007F1802">
        <w:rPr>
          <w:bCs/>
        </w:rPr>
        <w:t>L</w:t>
      </w:r>
      <w:r w:rsidR="005D438E" w:rsidRPr="007F1802">
        <w:rPr>
          <w:bCs/>
        </w:rPr>
        <w:t xml:space="preserve">ivello di interesse </w:t>
      </w:r>
      <w:r w:rsidR="00890CEB" w:rsidRPr="007F1802">
        <w:rPr>
          <w:bCs/>
        </w:rPr>
        <w:t xml:space="preserve">economico </w:t>
      </w:r>
      <w:r w:rsidR="005D438E" w:rsidRPr="007F1802">
        <w:rPr>
          <w:bCs/>
        </w:rPr>
        <w:t>esterno: la presenza di interessi</w:t>
      </w:r>
      <w:r w:rsidR="00346FFB" w:rsidRPr="007F1802">
        <w:rPr>
          <w:bCs/>
        </w:rPr>
        <w:t xml:space="preserve"> rilevanti, </w:t>
      </w:r>
      <w:r w:rsidR="00890CEB" w:rsidRPr="007F1802">
        <w:rPr>
          <w:bCs/>
        </w:rPr>
        <w:t xml:space="preserve">soprattutto </w:t>
      </w:r>
      <w:r w:rsidR="005D438E" w:rsidRPr="007F1802">
        <w:rPr>
          <w:bCs/>
        </w:rPr>
        <w:t>economici</w:t>
      </w:r>
      <w:r w:rsidR="00346FFB" w:rsidRPr="007F1802">
        <w:rPr>
          <w:bCs/>
        </w:rPr>
        <w:t xml:space="preserve"> </w:t>
      </w:r>
      <w:r w:rsidR="005D438E" w:rsidRPr="007F1802">
        <w:rPr>
          <w:bCs/>
        </w:rPr>
        <w:t>e di benefici per i destinatari</w:t>
      </w:r>
      <w:r w:rsidR="00890CEB" w:rsidRPr="007F1802">
        <w:rPr>
          <w:bCs/>
        </w:rPr>
        <w:t xml:space="preserve">, </w:t>
      </w:r>
      <w:r w:rsidR="005D438E" w:rsidRPr="007F1802">
        <w:rPr>
          <w:bCs/>
        </w:rPr>
        <w:t>determina un incremento del rischio</w:t>
      </w:r>
      <w:r w:rsidR="00890CEB" w:rsidRPr="007F1802">
        <w:rPr>
          <w:bCs/>
        </w:rPr>
        <w:t xml:space="preserve"> (Allegato B, colonna C); </w:t>
      </w:r>
    </w:p>
    <w:p w14:paraId="3391C812" w14:textId="5DC7CCC7" w:rsidR="00346FFB" w:rsidRPr="007F1802" w:rsidRDefault="005D438E" w:rsidP="007F1802">
      <w:pPr>
        <w:pStyle w:val="Paragrafoelenco"/>
        <w:numPr>
          <w:ilvl w:val="0"/>
          <w:numId w:val="57"/>
        </w:numPr>
        <w:rPr>
          <w:bCs/>
        </w:rPr>
      </w:pPr>
      <w:r w:rsidRPr="007F1802">
        <w:rPr>
          <w:bCs/>
        </w:rPr>
        <w:t>discrezionalità del decisore interno</w:t>
      </w:r>
      <w:r w:rsidR="00890CEB" w:rsidRPr="007F1802">
        <w:rPr>
          <w:bCs/>
        </w:rPr>
        <w:t xml:space="preserve"> alla PA</w:t>
      </w:r>
      <w:r w:rsidRPr="007F1802">
        <w:rPr>
          <w:bCs/>
        </w:rPr>
        <w:t xml:space="preserve">: un processo decisionale altamente discrezionale </w:t>
      </w:r>
      <w:r w:rsidR="00890CEB" w:rsidRPr="007F1802">
        <w:rPr>
          <w:bCs/>
        </w:rPr>
        <w:t xml:space="preserve">reca </w:t>
      </w:r>
      <w:r w:rsidR="00827119" w:rsidRPr="007F1802">
        <w:rPr>
          <w:bCs/>
        </w:rPr>
        <w:t>un livello di</w:t>
      </w:r>
      <w:r w:rsidRPr="007F1802">
        <w:rPr>
          <w:bCs/>
        </w:rPr>
        <w:t xml:space="preserve"> rischio </w:t>
      </w:r>
      <w:r w:rsidR="00827119" w:rsidRPr="007F1802">
        <w:rPr>
          <w:bCs/>
        </w:rPr>
        <w:t xml:space="preserve">maggiore </w:t>
      </w:r>
      <w:r w:rsidRPr="007F1802">
        <w:rPr>
          <w:bCs/>
        </w:rPr>
        <w:t>rispetto ad un processo decisionale vincolato</w:t>
      </w:r>
      <w:r w:rsidR="00890CEB" w:rsidRPr="007F1802">
        <w:rPr>
          <w:bCs/>
        </w:rPr>
        <w:t xml:space="preserve"> (Allegato B, colonna D);</w:t>
      </w:r>
    </w:p>
    <w:p w14:paraId="1FFBA1FC" w14:textId="2FA35AE5" w:rsidR="00890CEB" w:rsidRPr="007F1802" w:rsidRDefault="005D438E" w:rsidP="007F1802">
      <w:pPr>
        <w:pStyle w:val="Paragrafoelenco"/>
        <w:numPr>
          <w:ilvl w:val="0"/>
          <w:numId w:val="57"/>
        </w:numPr>
        <w:rPr>
          <w:bCs/>
        </w:rPr>
      </w:pPr>
      <w:r w:rsidRPr="007F1802">
        <w:rPr>
          <w:bCs/>
        </w:rPr>
        <w:t>manifestazione di eventi corruttivi in passato: se l’attività è stata oggetto di eventi corruttivi</w:t>
      </w:r>
      <w:r w:rsidR="00890CEB" w:rsidRPr="007F1802">
        <w:rPr>
          <w:bCs/>
        </w:rPr>
        <w:t>,</w:t>
      </w:r>
      <w:r w:rsidRPr="007F1802">
        <w:rPr>
          <w:bCs/>
        </w:rPr>
        <w:t xml:space="preserve"> </w:t>
      </w:r>
      <w:r w:rsidR="00890CEB" w:rsidRPr="007F1802">
        <w:rPr>
          <w:bCs/>
        </w:rPr>
        <w:t xml:space="preserve">o </w:t>
      </w:r>
      <w:r w:rsidRPr="007F1802">
        <w:rPr>
          <w:bCs/>
        </w:rPr>
        <w:t xml:space="preserve">nell’amministrazione </w:t>
      </w:r>
      <w:r w:rsidR="00890CEB" w:rsidRPr="007F1802">
        <w:rPr>
          <w:bCs/>
        </w:rPr>
        <w:t xml:space="preserve">procedente, o </w:t>
      </w:r>
      <w:r w:rsidRPr="007F1802">
        <w:rPr>
          <w:bCs/>
        </w:rPr>
        <w:t>in altre</w:t>
      </w:r>
      <w:r w:rsidR="00890CEB" w:rsidRPr="007F1802">
        <w:rPr>
          <w:bCs/>
          <w:color w:val="00B050"/>
        </w:rPr>
        <w:t xml:space="preserve"> </w:t>
      </w:r>
      <w:r w:rsidR="00890CEB" w:rsidRPr="007F1802">
        <w:rPr>
          <w:bCs/>
        </w:rPr>
        <w:t>amministrazioni</w:t>
      </w:r>
      <w:r w:rsidRPr="007F1802">
        <w:rPr>
          <w:bCs/>
        </w:rPr>
        <w:t>, il rischio aumenta</w:t>
      </w:r>
      <w:r w:rsidR="00A8622F" w:rsidRPr="007F1802">
        <w:rPr>
          <w:bCs/>
        </w:rPr>
        <w:t>; l’</w:t>
      </w:r>
      <w:r w:rsidRPr="007F1802">
        <w:rPr>
          <w:bCs/>
        </w:rPr>
        <w:t xml:space="preserve">attività ha caratteristiche che rendono </w:t>
      </w:r>
      <w:r w:rsidR="00827119" w:rsidRPr="007F1802">
        <w:rPr>
          <w:bCs/>
        </w:rPr>
        <w:t>praticabile il malaffare</w:t>
      </w:r>
      <w:r w:rsidR="00890CEB" w:rsidRPr="007F1802">
        <w:rPr>
          <w:bCs/>
        </w:rPr>
        <w:t xml:space="preserve"> (Allegato B, colonna E); </w:t>
      </w:r>
    </w:p>
    <w:p w14:paraId="12D873BC" w14:textId="3E153203" w:rsidR="00346FFB" w:rsidRPr="007F1802" w:rsidRDefault="00A8622F" w:rsidP="007F1802">
      <w:pPr>
        <w:pStyle w:val="Paragrafoelenco"/>
        <w:numPr>
          <w:ilvl w:val="0"/>
          <w:numId w:val="57"/>
        </w:numPr>
        <w:rPr>
          <w:bCs/>
        </w:rPr>
      </w:pPr>
      <w:r w:rsidRPr="007F1802">
        <w:rPr>
          <w:bCs/>
        </w:rPr>
        <w:t xml:space="preserve">grado di </w:t>
      </w:r>
      <w:r w:rsidR="005D438E" w:rsidRPr="007F1802">
        <w:rPr>
          <w:bCs/>
        </w:rPr>
        <w:t>opacità del processo decisionale: l’adozione di strumenti di trasparenza sostanziale</w:t>
      </w:r>
      <w:r w:rsidR="00B327BB" w:rsidRPr="007F1802">
        <w:rPr>
          <w:bCs/>
        </w:rPr>
        <w:t xml:space="preserve"> </w:t>
      </w:r>
      <w:r w:rsidR="00827119" w:rsidRPr="007F1802">
        <w:rPr>
          <w:bCs/>
        </w:rPr>
        <w:t>abbassa</w:t>
      </w:r>
      <w:r w:rsidR="005D438E" w:rsidRPr="007F1802">
        <w:rPr>
          <w:bCs/>
        </w:rPr>
        <w:t xml:space="preserve"> il rischio</w:t>
      </w:r>
      <w:r w:rsidRPr="007F1802">
        <w:rPr>
          <w:bCs/>
        </w:rPr>
        <w:t xml:space="preserve"> di eventi corruttivi; ad un minore grado di trasparenza (quindi, una </w:t>
      </w:r>
      <w:r w:rsidRPr="007F1802">
        <w:rPr>
          <w:bCs/>
          <w:i/>
          <w:iCs/>
        </w:rPr>
        <w:t>maggiore opacità</w:t>
      </w:r>
      <w:r w:rsidRPr="007F1802">
        <w:rPr>
          <w:bCs/>
        </w:rPr>
        <w:t>) del processo decisionale corrisponde un innalzamento del rischio (Allegato B, colonna F);</w:t>
      </w:r>
    </w:p>
    <w:p w14:paraId="5E20446C" w14:textId="4F609753" w:rsidR="00A8622F" w:rsidRPr="007F1802" w:rsidRDefault="00A8622F" w:rsidP="007F1802">
      <w:pPr>
        <w:pStyle w:val="Paragrafoelenco"/>
        <w:numPr>
          <w:ilvl w:val="0"/>
          <w:numId w:val="57"/>
        </w:numPr>
        <w:rPr>
          <w:bCs/>
        </w:rPr>
      </w:pPr>
      <w:r w:rsidRPr="007F1802">
        <w:rPr>
          <w:bCs/>
        </w:rPr>
        <w:t>disinteresse del responsabile</w:t>
      </w:r>
      <w:r w:rsidR="00B327BB" w:rsidRPr="007F1802">
        <w:rPr>
          <w:bCs/>
        </w:rPr>
        <w:t xml:space="preserve">: </w:t>
      </w:r>
      <w:r w:rsidR="005D438E" w:rsidRPr="007F1802">
        <w:rPr>
          <w:bCs/>
        </w:rPr>
        <w:t>la scarsa collaborazione</w:t>
      </w:r>
      <w:r w:rsidRPr="007F1802">
        <w:rPr>
          <w:bCs/>
        </w:rPr>
        <w:t xml:space="preserve"> del dirigente o del funzionario alle attività di mappatura, analisi e trattamento dei rischi </w:t>
      </w:r>
      <w:r w:rsidR="005D438E" w:rsidRPr="007F1802">
        <w:rPr>
          <w:bCs/>
        </w:rPr>
        <w:t xml:space="preserve">segnala un deficit di attenzione </w:t>
      </w:r>
      <w:r w:rsidRPr="007F1802">
        <w:rPr>
          <w:bCs/>
        </w:rPr>
        <w:t>in t</w:t>
      </w:r>
      <w:r w:rsidR="005D438E" w:rsidRPr="007F1802">
        <w:rPr>
          <w:bCs/>
        </w:rPr>
        <w:t xml:space="preserve">ema </w:t>
      </w:r>
      <w:r w:rsidRPr="007F1802">
        <w:rPr>
          <w:bCs/>
        </w:rPr>
        <w:t xml:space="preserve">di </w:t>
      </w:r>
      <w:r w:rsidR="005D438E" w:rsidRPr="007F1802">
        <w:rPr>
          <w:bCs/>
        </w:rPr>
        <w:t>corruzione;</w:t>
      </w:r>
      <w:r w:rsidRPr="007F1802">
        <w:rPr>
          <w:bCs/>
        </w:rPr>
        <w:t xml:space="preserve"> minore è la collaborazione del dirigente o del funzionario prestata al RPCT, maggiore è </w:t>
      </w:r>
      <w:r w:rsidR="00B327BB" w:rsidRPr="007F1802">
        <w:rPr>
          <w:bCs/>
        </w:rPr>
        <w:t xml:space="preserve">la probabilità </w:t>
      </w:r>
      <w:r w:rsidRPr="007F1802">
        <w:rPr>
          <w:bCs/>
        </w:rPr>
        <w:t>di eventi corruttivi (Allegato B, colonna G);</w:t>
      </w:r>
    </w:p>
    <w:p w14:paraId="719A78B8" w14:textId="46DC9AC4" w:rsidR="005D438E" w:rsidRPr="007F1802" w:rsidRDefault="005D438E" w:rsidP="007F1802">
      <w:pPr>
        <w:pStyle w:val="Paragrafoelenco"/>
        <w:numPr>
          <w:ilvl w:val="0"/>
          <w:numId w:val="57"/>
        </w:numPr>
        <w:rPr>
          <w:bCs/>
        </w:rPr>
      </w:pPr>
      <w:r w:rsidRPr="007F1802">
        <w:rPr>
          <w:bCs/>
        </w:rPr>
        <w:t xml:space="preserve">grado di </w:t>
      </w:r>
      <w:r w:rsidR="00A8622F" w:rsidRPr="007F1802">
        <w:rPr>
          <w:bCs/>
        </w:rPr>
        <w:t>in</w:t>
      </w:r>
      <w:r w:rsidRPr="007F1802">
        <w:rPr>
          <w:bCs/>
        </w:rPr>
        <w:t>attuazione delle misure di trattamento: l’attuazione di misure di trattamento si associa ad una minore p</w:t>
      </w:r>
      <w:r w:rsidR="00346FFB" w:rsidRPr="007F1802">
        <w:rPr>
          <w:bCs/>
        </w:rPr>
        <w:t xml:space="preserve">robabilità </w:t>
      </w:r>
      <w:r w:rsidRPr="007F1802">
        <w:rPr>
          <w:bCs/>
        </w:rPr>
        <w:t>di fatti corruttivi</w:t>
      </w:r>
      <w:r w:rsidR="00B327BB" w:rsidRPr="007F1802">
        <w:rPr>
          <w:bCs/>
        </w:rPr>
        <w:t>;</w:t>
      </w:r>
      <w:r w:rsidR="00A8622F" w:rsidRPr="007F1802">
        <w:rPr>
          <w:bCs/>
        </w:rPr>
        <w:t xml:space="preserve"> maggiore è il livello di “non attuazione” delle misure programmate, maggiore sarà il rischio</w:t>
      </w:r>
      <w:r w:rsidR="00FB61DA" w:rsidRPr="007F1802">
        <w:rPr>
          <w:bCs/>
        </w:rPr>
        <w:t xml:space="preserve"> (Allegato B, colonna H)</w:t>
      </w:r>
      <w:r w:rsidR="00A8622F" w:rsidRPr="007F1802">
        <w:rPr>
          <w:bCs/>
        </w:rPr>
        <w:t xml:space="preserve">. </w:t>
      </w:r>
    </w:p>
    <w:p w14:paraId="1EE01857" w14:textId="6129522F" w:rsidR="001A190F" w:rsidRPr="007F1802" w:rsidRDefault="00960D5B" w:rsidP="007F1802">
      <w:pPr>
        <w:rPr>
          <w:bCs/>
        </w:rPr>
      </w:pPr>
      <w:r w:rsidRPr="007F1802">
        <w:rPr>
          <w:bCs/>
        </w:rPr>
        <w:t>I r</w:t>
      </w:r>
      <w:r w:rsidR="006C3423" w:rsidRPr="007F1802">
        <w:rPr>
          <w:bCs/>
        </w:rPr>
        <w:t>isultati dell</w:t>
      </w:r>
      <w:r w:rsidR="00B004D7" w:rsidRPr="007F1802">
        <w:rPr>
          <w:bCs/>
        </w:rPr>
        <w:t>’</w:t>
      </w:r>
      <w:r w:rsidR="006C3423" w:rsidRPr="007F1802">
        <w:rPr>
          <w:bCs/>
        </w:rPr>
        <w:t>analisi sono stati</w:t>
      </w:r>
      <w:r w:rsidRPr="007F1802">
        <w:rPr>
          <w:bCs/>
        </w:rPr>
        <w:t xml:space="preserve"> riportati</w:t>
      </w:r>
      <w:r w:rsidR="001A190F" w:rsidRPr="007F1802">
        <w:rPr>
          <w:bCs/>
        </w:rPr>
        <w:t xml:space="preserve"> nel</w:t>
      </w:r>
      <w:r w:rsidR="00B004D7" w:rsidRPr="007F1802">
        <w:rPr>
          <w:bCs/>
        </w:rPr>
        <w:t xml:space="preserve"> citato allegato </w:t>
      </w:r>
      <w:r w:rsidR="001A190F" w:rsidRPr="007F1802">
        <w:rPr>
          <w:bCs/>
        </w:rPr>
        <w:t>denominat</w:t>
      </w:r>
      <w:r w:rsidR="00B004D7" w:rsidRPr="007F1802">
        <w:rPr>
          <w:bCs/>
        </w:rPr>
        <w:t>o</w:t>
      </w:r>
      <w:r w:rsidR="001A190F" w:rsidRPr="007F1802">
        <w:rPr>
          <w:bCs/>
        </w:rPr>
        <w:t xml:space="preserve"> </w:t>
      </w:r>
      <w:r w:rsidR="00B004D7" w:rsidRPr="007F1802">
        <w:rPr>
          <w:bCs/>
        </w:rPr>
        <w:t xml:space="preserve">B- </w:t>
      </w:r>
      <w:r w:rsidR="001A190F" w:rsidRPr="007F1802">
        <w:rPr>
          <w:bCs/>
        </w:rPr>
        <w:t xml:space="preserve">Analisi dei rischi. </w:t>
      </w:r>
    </w:p>
    <w:p w14:paraId="161282CC" w14:textId="77777777" w:rsidR="001A190F" w:rsidRPr="00860921" w:rsidRDefault="001A190F" w:rsidP="00860921">
      <w:pPr>
        <w:rPr>
          <w:rFonts w:cs="Arial"/>
          <w:bCs/>
          <w:color w:val="002060"/>
          <w:sz w:val="24"/>
          <w:szCs w:val="24"/>
        </w:rPr>
      </w:pPr>
    </w:p>
    <w:p w14:paraId="5F3080A2" w14:textId="6D6095F6" w:rsidR="005D438E" w:rsidRPr="00860921" w:rsidRDefault="00B361C1" w:rsidP="007F1802">
      <w:pPr>
        <w:pStyle w:val="Titolo4"/>
      </w:pPr>
      <w:bookmarkStart w:id="52" w:name="_Toc97543238"/>
      <w:bookmarkStart w:id="53" w:name="_Toc150499198"/>
      <w:r w:rsidRPr="00860921">
        <w:t>L</w:t>
      </w:r>
      <w:r w:rsidR="00854A06" w:rsidRPr="00860921">
        <w:t>a r</w:t>
      </w:r>
      <w:r w:rsidR="005D438E" w:rsidRPr="00860921">
        <w:t>ilevazione di dati e informazioni</w:t>
      </w:r>
      <w:bookmarkEnd w:id="52"/>
      <w:bookmarkEnd w:id="53"/>
      <w:r w:rsidR="005D438E" w:rsidRPr="00860921">
        <w:t xml:space="preserve">  </w:t>
      </w:r>
    </w:p>
    <w:p w14:paraId="07DE421F" w14:textId="6793FAA6" w:rsidR="00A90619" w:rsidRPr="00860921" w:rsidRDefault="00A90619" w:rsidP="007F1802">
      <w:r w:rsidRPr="00860921">
        <w:t>La rilevazione di dati e informazioni</w:t>
      </w:r>
      <w:r w:rsidR="00D5327E" w:rsidRPr="00860921">
        <w:t>,</w:t>
      </w:r>
      <w:r w:rsidRPr="00860921">
        <w:t xml:space="preserve"> </w:t>
      </w:r>
      <w:r w:rsidR="00D5327E" w:rsidRPr="00860921">
        <w:t xml:space="preserve">per </w:t>
      </w:r>
      <w:r w:rsidRPr="00860921">
        <w:t>esprimere un giudizio sugli indicatori di rischio</w:t>
      </w:r>
      <w:r w:rsidR="00D5327E" w:rsidRPr="00860921">
        <w:t>,</w:t>
      </w:r>
      <w:r w:rsidR="00854A06" w:rsidRPr="00860921">
        <w:t xml:space="preserve"> </w:t>
      </w:r>
      <w:r w:rsidR="004C2F93" w:rsidRPr="00860921">
        <w:t xml:space="preserve">è </w:t>
      </w:r>
      <w:r w:rsidRPr="00860921">
        <w:t xml:space="preserve">coordinata dal RPCT. </w:t>
      </w:r>
      <w:r w:rsidR="003A6689" w:rsidRPr="00860921">
        <w:t>L</w:t>
      </w:r>
      <w:r w:rsidRPr="00860921">
        <w:t>e informazioni poss</w:t>
      </w:r>
      <w:r w:rsidR="003A6689" w:rsidRPr="00860921">
        <w:t>o</w:t>
      </w:r>
      <w:r w:rsidRPr="00860921">
        <w:t>no essere rilevate</w:t>
      </w:r>
      <w:r w:rsidR="00854A06" w:rsidRPr="00860921">
        <w:t xml:space="preserve">: </w:t>
      </w:r>
      <w:r w:rsidRPr="00860921">
        <w:t>da soggetti con specifiche competenze o adeguatamente formati</w:t>
      </w:r>
      <w:r w:rsidR="00854A06" w:rsidRPr="00860921">
        <w:t>;</w:t>
      </w:r>
      <w:r w:rsidRPr="00860921">
        <w:t xml:space="preserve"> attraverso modalità di </w:t>
      </w:r>
      <w:r w:rsidRPr="00860921">
        <w:rPr>
          <w:i/>
          <w:iCs/>
        </w:rPr>
        <w:t>autovalutazione</w:t>
      </w:r>
      <w:r w:rsidRPr="00860921">
        <w:t xml:space="preserve"> da parte dei responsabili degli uffici coinvolti. </w:t>
      </w:r>
    </w:p>
    <w:p w14:paraId="749B4C5E" w14:textId="431EF968" w:rsidR="00A90619" w:rsidRPr="00860921" w:rsidRDefault="00A90619" w:rsidP="007F1802">
      <w:r w:rsidRPr="00860921">
        <w:t xml:space="preserve">Qualora si applichi l’autovalutazione, il RPCT deve vagliare le stime dei responsabili per analizzarne la ragionevolezza ed evitare la sottostima delle stesse, secondo il principio della </w:t>
      </w:r>
      <w:r w:rsidRPr="00860921">
        <w:rPr>
          <w:i/>
          <w:iCs/>
        </w:rPr>
        <w:t>prudenza</w:t>
      </w:r>
      <w:r w:rsidRPr="00860921">
        <w:t xml:space="preserve">.  </w:t>
      </w:r>
    </w:p>
    <w:p w14:paraId="19AC23E9" w14:textId="05E69C67" w:rsidR="003A6689" w:rsidRPr="00860921" w:rsidRDefault="00A90619" w:rsidP="007F1802">
      <w:r w:rsidRPr="00860921">
        <w:lastRenderedPageBreak/>
        <w:t xml:space="preserve">Le valutazioni </w:t>
      </w:r>
      <w:r w:rsidR="003A6689" w:rsidRPr="00860921">
        <w:t>sono</w:t>
      </w:r>
      <w:r w:rsidRPr="00860921">
        <w:t xml:space="preserve"> suffragate dalla </w:t>
      </w:r>
      <w:r w:rsidRPr="00860921">
        <w:rPr>
          <w:i/>
          <w:iCs/>
        </w:rPr>
        <w:t>motivazione del giudizio espresso</w:t>
      </w:r>
      <w:r w:rsidRPr="00860921">
        <w:t xml:space="preserve">, </w:t>
      </w:r>
      <w:r w:rsidR="003A6689" w:rsidRPr="00860921">
        <w:t xml:space="preserve">possibilmente </w:t>
      </w:r>
      <w:r w:rsidRPr="00860921">
        <w:t>fornite di evidenze a supporto e sostenute da “dati oggettivi, salvo documentata indisponibilità degli stessi” (</w:t>
      </w:r>
      <w:r w:rsidR="003A6689" w:rsidRPr="00860921">
        <w:t xml:space="preserve">PNA, </w:t>
      </w:r>
      <w:r w:rsidRPr="00860921">
        <w:t xml:space="preserve">Allegato n. 1, pag. 29).  </w:t>
      </w:r>
    </w:p>
    <w:p w14:paraId="5E7FE3A3" w14:textId="63BE616B" w:rsidR="00A90619" w:rsidRPr="00860921" w:rsidRDefault="00A90619" w:rsidP="007F1802">
      <w:r w:rsidRPr="00860921">
        <w:t xml:space="preserve">L’ANAC ha suggerito </w:t>
      </w:r>
      <w:r w:rsidR="003A6689" w:rsidRPr="00860921">
        <w:t xml:space="preserve">di far uso di: </w:t>
      </w:r>
      <w:r w:rsidRPr="00860921">
        <w:t xml:space="preserve"> </w:t>
      </w:r>
    </w:p>
    <w:p w14:paraId="6B4CBFED" w14:textId="687C3B30" w:rsidR="00A90619" w:rsidRPr="00860921" w:rsidRDefault="00A90619" w:rsidP="007F1802">
      <w:pPr>
        <w:pStyle w:val="Paragrafoelenco"/>
        <w:numPr>
          <w:ilvl w:val="0"/>
          <w:numId w:val="58"/>
        </w:numPr>
      </w:pPr>
      <w:r w:rsidRPr="00860921">
        <w:t xml:space="preserve">dati sui precedenti giudiziari e disciplinari a carico dei dipendenti, fermo restando che le fattispecie da considerare sono le sentenze definitive, i procedimenti in corso, le citazioni a giudizio relativi a: reati contro la PA; falso e truffa, con particolare riferimento alle truffe aggravate alla PA (artt. 640 e 640-bis CP); procedimenti per responsabilità contabile; ricorsi in tema di affidamento di contratti);  </w:t>
      </w:r>
    </w:p>
    <w:p w14:paraId="7A6BCD85" w14:textId="3D363604" w:rsidR="00A90619" w:rsidRPr="00860921" w:rsidRDefault="00A90619" w:rsidP="007F1802">
      <w:pPr>
        <w:pStyle w:val="Paragrafoelenco"/>
        <w:numPr>
          <w:ilvl w:val="0"/>
          <w:numId w:val="58"/>
        </w:numPr>
      </w:pPr>
      <w:r w:rsidRPr="00860921">
        <w:t xml:space="preserve">segnalazioni pervenute: whistleblowing o altre modalità, reclami, indagini di customer </w:t>
      </w:r>
      <w:proofErr w:type="spellStart"/>
      <w:r w:rsidRPr="00860921">
        <w:t>satisfaction</w:t>
      </w:r>
      <w:proofErr w:type="spellEnd"/>
      <w:r w:rsidRPr="00860921">
        <w:t>, ecc.;</w:t>
      </w:r>
    </w:p>
    <w:p w14:paraId="14B87336" w14:textId="77777777" w:rsidR="00A90619" w:rsidRPr="00860921" w:rsidRDefault="00A90619" w:rsidP="007F1802">
      <w:pPr>
        <w:pStyle w:val="Paragrafoelenco"/>
        <w:numPr>
          <w:ilvl w:val="0"/>
          <w:numId w:val="58"/>
        </w:numPr>
      </w:pPr>
      <w:r w:rsidRPr="00860921">
        <w:t xml:space="preserve">ulteriori dati in possesso dell’amministrazione (ad esempio: rassegne stampa, ecc.).   </w:t>
      </w:r>
    </w:p>
    <w:p w14:paraId="51868BD1" w14:textId="2AA656C0" w:rsidR="00960D5B" w:rsidRPr="007F1802" w:rsidRDefault="007F1802" w:rsidP="007F1802">
      <w:r w:rsidRPr="007F1802">
        <w:t>Si è quindi</w:t>
      </w:r>
      <w:r w:rsidR="00960D5B" w:rsidRPr="007F1802">
        <w:t xml:space="preserve"> ritenuto di procedere con la metodologia dell'autovalutazione</w:t>
      </w:r>
      <w:r w:rsidR="00B004D7" w:rsidRPr="007F1802">
        <w:t xml:space="preserve"> </w:t>
      </w:r>
      <w:r w:rsidR="003628F5" w:rsidRPr="007F1802">
        <w:t>proposta dall</w:t>
      </w:r>
      <w:r w:rsidR="00B004D7" w:rsidRPr="007F1802">
        <w:t xml:space="preserve">a stessa Autorità </w:t>
      </w:r>
      <w:r w:rsidR="003628F5" w:rsidRPr="007F1802">
        <w:t xml:space="preserve">(PNA 2019, Allegato 1, pag. 29). </w:t>
      </w:r>
    </w:p>
    <w:p w14:paraId="31AEC477" w14:textId="4A5AC95C" w:rsidR="00430223" w:rsidRPr="007F1802" w:rsidRDefault="00B004D7" w:rsidP="007F1802">
      <w:r w:rsidRPr="007F1802">
        <w:t>A</w:t>
      </w:r>
      <w:r w:rsidR="003628F5" w:rsidRPr="007F1802">
        <w:t>l termine del</w:t>
      </w:r>
      <w:r w:rsidRPr="007F1802">
        <w:t xml:space="preserve"> processo di </w:t>
      </w:r>
      <w:r w:rsidR="003628F5" w:rsidRPr="007F1802">
        <w:t>autovalutazione</w:t>
      </w:r>
      <w:r w:rsidRPr="007F1802">
        <w:t>,</w:t>
      </w:r>
      <w:r w:rsidR="003628F5" w:rsidRPr="007F1802">
        <w:t xml:space="preserve"> i</w:t>
      </w:r>
      <w:r w:rsidR="00430223" w:rsidRPr="007F1802">
        <w:t xml:space="preserve">l RPCT </w:t>
      </w:r>
      <w:r w:rsidR="003628F5" w:rsidRPr="007F1802">
        <w:t xml:space="preserve">ha </w:t>
      </w:r>
      <w:r w:rsidR="00430223" w:rsidRPr="007F1802">
        <w:t>vaglia</w:t>
      </w:r>
      <w:r w:rsidR="003628F5" w:rsidRPr="007F1802">
        <w:t>to</w:t>
      </w:r>
      <w:r w:rsidR="00430223" w:rsidRPr="007F1802">
        <w:t xml:space="preserve"> le stime per analizzarne la ragionevolezza ed evitare la sottostima delle stesse, secondo il principio d</w:t>
      </w:r>
      <w:r w:rsidR="00827119" w:rsidRPr="007F1802">
        <w:t>ella</w:t>
      </w:r>
      <w:r w:rsidR="00430223" w:rsidRPr="007F1802">
        <w:t xml:space="preserve"> </w:t>
      </w:r>
      <w:r w:rsidR="00430223" w:rsidRPr="007F1802">
        <w:rPr>
          <w:i/>
          <w:iCs/>
        </w:rPr>
        <w:t>prudenz</w:t>
      </w:r>
      <w:r w:rsidRPr="007F1802">
        <w:rPr>
          <w:i/>
          <w:iCs/>
        </w:rPr>
        <w:t>a</w:t>
      </w:r>
      <w:r w:rsidR="00430223" w:rsidRPr="007F1802">
        <w:t xml:space="preserve">.  </w:t>
      </w:r>
    </w:p>
    <w:p w14:paraId="3A2E7B69" w14:textId="77777777" w:rsidR="003A6689" w:rsidRPr="007F1802" w:rsidRDefault="003628F5" w:rsidP="007F1802">
      <w:r w:rsidRPr="007F1802">
        <w:t>I r</w:t>
      </w:r>
      <w:r w:rsidR="00A90619" w:rsidRPr="007F1802">
        <w:t>isultati dell'analisi sono stati</w:t>
      </w:r>
      <w:r w:rsidRPr="007F1802">
        <w:t xml:space="preserve"> riportati nelle schede allegate, denominate </w:t>
      </w:r>
      <w:r w:rsidR="00B004D7" w:rsidRPr="007F1802">
        <w:t xml:space="preserve">B- </w:t>
      </w:r>
      <w:r w:rsidRPr="007F1802">
        <w:t>Analisi dei rischi”</w:t>
      </w:r>
      <w:r w:rsidR="00B004D7" w:rsidRPr="007F1802">
        <w:t xml:space="preserve">. </w:t>
      </w:r>
    </w:p>
    <w:p w14:paraId="489F3543" w14:textId="44A2257E" w:rsidR="008278FC" w:rsidRPr="007F1802" w:rsidRDefault="003A6689" w:rsidP="007F1802">
      <w:r w:rsidRPr="007F1802">
        <w:t xml:space="preserve">Tutte le </w:t>
      </w:r>
      <w:r w:rsidR="003628F5" w:rsidRPr="007F1802">
        <w:t>valutazioni sono supportate da chiar</w:t>
      </w:r>
      <w:r w:rsidR="00854A06" w:rsidRPr="007F1802">
        <w:t>e</w:t>
      </w:r>
      <w:r w:rsidR="00B004D7" w:rsidRPr="007F1802">
        <w:t>, seppur</w:t>
      </w:r>
      <w:r w:rsidR="003628F5" w:rsidRPr="007F1802">
        <w:t xml:space="preserve"> sintetic</w:t>
      </w:r>
      <w:r w:rsidR="00854A06" w:rsidRPr="007F1802">
        <w:t xml:space="preserve">he </w:t>
      </w:r>
      <w:r w:rsidR="003628F5" w:rsidRPr="007F1802">
        <w:t>motivazion</w:t>
      </w:r>
      <w:r w:rsidR="00854A06" w:rsidRPr="007F1802">
        <w:t>i,</w:t>
      </w:r>
      <w:r w:rsidR="003628F5" w:rsidRPr="007F1802">
        <w:t xml:space="preserve"> espost</w:t>
      </w:r>
      <w:r w:rsidR="00854A06" w:rsidRPr="007F1802">
        <w:t>e</w:t>
      </w:r>
      <w:r w:rsidR="003628F5" w:rsidRPr="007F1802">
        <w:t xml:space="preserve"> nell</w:t>
      </w:r>
      <w:r w:rsidR="00B004D7" w:rsidRPr="007F1802">
        <w:t xml:space="preserve">a </w:t>
      </w:r>
      <w:r w:rsidR="003628F5" w:rsidRPr="007F1802">
        <w:t xml:space="preserve">colonna </w:t>
      </w:r>
      <w:r w:rsidR="00B004D7" w:rsidRPr="007F1802">
        <w:t xml:space="preserve">M </w:t>
      </w:r>
      <w:r w:rsidR="003628F5" w:rsidRPr="007F1802">
        <w:t>nelle suddette schede. Le valutazioni, quan</w:t>
      </w:r>
      <w:r w:rsidR="00B004D7" w:rsidRPr="007F1802">
        <w:t>d</w:t>
      </w:r>
      <w:r w:rsidR="003628F5" w:rsidRPr="007F1802">
        <w:t xml:space="preserve">o possibile, sono sostenute </w:t>
      </w:r>
      <w:r w:rsidR="00AB6D84" w:rsidRPr="007F1802">
        <w:t xml:space="preserve">dai </w:t>
      </w:r>
      <w:r w:rsidR="00AB6D84" w:rsidRPr="007F1802">
        <w:rPr>
          <w:i/>
          <w:iCs/>
        </w:rPr>
        <w:t>dati oggettivi</w:t>
      </w:r>
      <w:r w:rsidR="00AB6D84" w:rsidRPr="007F1802">
        <w:t xml:space="preserve"> in possesso dell'ente</w:t>
      </w:r>
      <w:r w:rsidR="005D438E" w:rsidRPr="007F1802">
        <w:t xml:space="preserve">.  </w:t>
      </w:r>
    </w:p>
    <w:p w14:paraId="1ECB26FB" w14:textId="77777777" w:rsidR="00430223" w:rsidRPr="00860921" w:rsidRDefault="00430223" w:rsidP="00860921">
      <w:pPr>
        <w:rPr>
          <w:rFonts w:cs="Arial"/>
          <w:bCs/>
          <w:color w:val="002060"/>
          <w:sz w:val="24"/>
          <w:szCs w:val="24"/>
        </w:rPr>
      </w:pPr>
    </w:p>
    <w:p w14:paraId="72A32447" w14:textId="3C072FA4" w:rsidR="005D438E" w:rsidRPr="00860921" w:rsidRDefault="00D17039" w:rsidP="007F1802">
      <w:pPr>
        <w:pStyle w:val="Titolo4"/>
      </w:pPr>
      <w:bookmarkStart w:id="54" w:name="_Toc97543239"/>
      <w:bookmarkStart w:id="55" w:name="_Toc150499199"/>
      <w:r w:rsidRPr="00860921">
        <w:t>F</w:t>
      </w:r>
      <w:r w:rsidR="00C33AE4" w:rsidRPr="00860921">
        <w:t>ormulazione di un giudizio motivato</w:t>
      </w:r>
      <w:bookmarkEnd w:id="54"/>
      <w:bookmarkEnd w:id="55"/>
    </w:p>
    <w:p w14:paraId="7C1B37ED" w14:textId="77777777" w:rsidR="00B004D7" w:rsidRPr="007F1802" w:rsidRDefault="00F91FD2" w:rsidP="007F1802">
      <w:r w:rsidRPr="007F1802">
        <w:t xml:space="preserve">In questa fase </w:t>
      </w:r>
      <w:r w:rsidR="00A561B7" w:rsidRPr="007F1802">
        <w:t>si procede alla misurazione degli indicatori di rischio.</w:t>
      </w:r>
      <w:r w:rsidR="00DC4903" w:rsidRPr="007F1802">
        <w:t xml:space="preserve"> </w:t>
      </w:r>
      <w:r w:rsidRPr="007F1802">
        <w:t xml:space="preserve">L'ANAC sostiene che sarebbe opportuno privilegiare un’analisi di tipo </w:t>
      </w:r>
      <w:r w:rsidRPr="007F1802">
        <w:rPr>
          <w:i/>
          <w:iCs/>
        </w:rPr>
        <w:t>qualitativo</w:t>
      </w:r>
      <w:r w:rsidRPr="007F1802">
        <w:t xml:space="preserve">, accompagnata da adeguate documentazioni e motivazioni rispetto ad un’impostazione </w:t>
      </w:r>
      <w:r w:rsidRPr="007F1802">
        <w:rPr>
          <w:i/>
          <w:iCs/>
        </w:rPr>
        <w:t>quantitativa</w:t>
      </w:r>
      <w:r w:rsidRPr="007F1802">
        <w:t xml:space="preserve"> che prevede l’attribuzione di punteggi.  </w:t>
      </w:r>
    </w:p>
    <w:p w14:paraId="2BFA3C0E" w14:textId="436DC899" w:rsidR="00F91FD2" w:rsidRPr="007F1802" w:rsidRDefault="00F91FD2" w:rsidP="007F1802">
      <w:r w:rsidRPr="007F1802">
        <w:t xml:space="preserve">Se la misurazione degli indicatori di rischio viene svolta con metodologia </w:t>
      </w:r>
      <w:r w:rsidRPr="007F1802">
        <w:rPr>
          <w:i/>
          <w:iCs/>
        </w:rPr>
        <w:t>qualitativa</w:t>
      </w:r>
      <w:r w:rsidRPr="007F1802">
        <w:t xml:space="preserve"> è possibile applicare una scala di valutazione di tipo ordinale: alto, medio, basso. </w:t>
      </w:r>
    </w:p>
    <w:p w14:paraId="7A8C2A68" w14:textId="77777777" w:rsidR="00217FAC" w:rsidRPr="007F1802" w:rsidRDefault="00A3772B" w:rsidP="007F1802">
      <w:r w:rsidRPr="007F1802">
        <w:t xml:space="preserve">Partendo dalla misurazione dei singoli indicatori si deve pervenire ad una valutazione complessiva del livello di esposizione al rischio. </w:t>
      </w:r>
    </w:p>
    <w:p w14:paraId="7FB845B0" w14:textId="65B56262" w:rsidR="00A3772B" w:rsidRPr="007F1802" w:rsidRDefault="00A3772B" w:rsidP="007F1802">
      <w:r w:rsidRPr="007F1802">
        <w:t>Il valore complessivo ha lo scopo di fornire una misurazione sintetica del livello di rischio associabile all’oggetto di analisi (processo/attività o evento rischioso).</w:t>
      </w:r>
    </w:p>
    <w:p w14:paraId="32E4CBCC" w14:textId="77777777" w:rsidR="00A3772B" w:rsidRPr="00C10F0A" w:rsidRDefault="00A3772B" w:rsidP="00860921">
      <w:pPr>
        <w:rPr>
          <w:rFonts w:cs="Arial"/>
          <w:bCs/>
          <w:sz w:val="24"/>
          <w:szCs w:val="24"/>
        </w:rPr>
      </w:pPr>
    </w:p>
    <w:p w14:paraId="2FC9C104" w14:textId="12576C2F" w:rsidR="00A3772B" w:rsidRPr="00C10F0A" w:rsidRDefault="00C10F0A" w:rsidP="00C10F0A">
      <w:pPr>
        <w:rPr>
          <w:bCs/>
        </w:rPr>
      </w:pPr>
      <w:r w:rsidRPr="00C10F0A">
        <w:rPr>
          <w:bCs/>
        </w:rPr>
        <w:t>Il RPCTP</w:t>
      </w:r>
      <w:r w:rsidR="00A3772B" w:rsidRPr="00C10F0A">
        <w:rPr>
          <w:bCs/>
        </w:rPr>
        <w:t xml:space="preserve"> ha proceduto ad autovalutazione degli stessi con metodologia di tipo </w:t>
      </w:r>
      <w:r w:rsidR="00217FAC" w:rsidRPr="00C10F0A">
        <w:rPr>
          <w:bCs/>
          <w:i/>
          <w:iCs/>
          <w:u w:val="single"/>
        </w:rPr>
        <w:t>misto quantitativo-</w:t>
      </w:r>
      <w:r w:rsidR="00A3772B" w:rsidRPr="00C10F0A">
        <w:rPr>
          <w:bCs/>
          <w:i/>
          <w:iCs/>
          <w:u w:val="single"/>
        </w:rPr>
        <w:t>qualitativo</w:t>
      </w:r>
      <w:r w:rsidR="00A3772B" w:rsidRPr="00C10F0A">
        <w:rPr>
          <w:bCs/>
        </w:rPr>
        <w:t xml:space="preserve"> </w:t>
      </w:r>
    </w:p>
    <w:p w14:paraId="727DF007" w14:textId="6D1EF36E" w:rsidR="00A3772B" w:rsidRPr="00C10F0A" w:rsidRDefault="00A3772B" w:rsidP="00C10F0A">
      <w:pPr>
        <w:rPr>
          <w:bCs/>
        </w:rPr>
      </w:pPr>
      <w:r w:rsidRPr="00C10F0A">
        <w:rPr>
          <w:bCs/>
        </w:rPr>
        <w:t xml:space="preserve">Al solo scopo di rendere più comprensibili gli esiti dell’analisi, preliminarmente sono stati utilizzati coefficienti numerici da 1 a 10. </w:t>
      </w:r>
    </w:p>
    <w:p w14:paraId="2527BF26" w14:textId="0C871B3F" w:rsidR="00A3772B" w:rsidRPr="00C10F0A" w:rsidRDefault="00217FAC" w:rsidP="00C10F0A">
      <w:pPr>
        <w:rPr>
          <w:bCs/>
          <w:u w:val="single"/>
        </w:rPr>
      </w:pPr>
      <w:r w:rsidRPr="00C10F0A">
        <w:rPr>
          <w:bCs/>
        </w:rPr>
        <w:t>A</w:t>
      </w:r>
      <w:r w:rsidR="00A3772B" w:rsidRPr="00C10F0A">
        <w:rPr>
          <w:bCs/>
        </w:rPr>
        <w:t xml:space="preserve">l valore 1 corrisponde un rischio corruttivo pressoché nullo, al coefficiente 10 corrisponde un livello </w:t>
      </w:r>
      <w:r w:rsidR="00284B59" w:rsidRPr="00C10F0A">
        <w:rPr>
          <w:bCs/>
        </w:rPr>
        <w:t>altissimo</w:t>
      </w:r>
      <w:r w:rsidR="00A3772B" w:rsidRPr="00C10F0A">
        <w:rPr>
          <w:bCs/>
        </w:rPr>
        <w:t xml:space="preserve">. </w:t>
      </w:r>
      <w:r w:rsidRPr="00C10F0A">
        <w:rPr>
          <w:bCs/>
        </w:rPr>
        <w:t xml:space="preserve">La corrispondenza non è semplicemente lineare: </w:t>
      </w:r>
      <w:r w:rsidRPr="00C10F0A">
        <w:rPr>
          <w:bCs/>
          <w:u w:val="single"/>
        </w:rPr>
        <w:t>g</w:t>
      </w:r>
      <w:r w:rsidR="00A3772B" w:rsidRPr="00C10F0A">
        <w:rPr>
          <w:bCs/>
          <w:u w:val="single"/>
        </w:rPr>
        <w:t xml:space="preserve">ià dal valore 7, il rischio è stato ritenuto elevatissimo.   </w:t>
      </w:r>
    </w:p>
    <w:p w14:paraId="02229D54" w14:textId="77777777" w:rsidR="00722121" w:rsidRPr="00C10F0A" w:rsidRDefault="00722121" w:rsidP="00C10F0A">
      <w:pPr>
        <w:rPr>
          <w:bCs/>
        </w:rPr>
      </w:pPr>
      <w:r w:rsidRPr="00C10F0A">
        <w:rPr>
          <w:bCs/>
        </w:rPr>
        <w:t xml:space="preserve">La media dei coefficienti, attribuiti per ognuno degli indicatori, ha permesso di individuare un primo valore definito “valutazione complessiva” (B- Analisi dei rischi, colonna I). </w:t>
      </w:r>
    </w:p>
    <w:p w14:paraId="0F5F8D9F" w14:textId="30FB05E1" w:rsidR="00722121" w:rsidRPr="00C10F0A" w:rsidRDefault="00722121" w:rsidP="00C10F0A">
      <w:pPr>
        <w:rPr>
          <w:bCs/>
        </w:rPr>
      </w:pPr>
      <w:r w:rsidRPr="00C10F0A">
        <w:rPr>
          <w:bCs/>
        </w:rPr>
        <w:t>Successivamente, tali valori, con metodo</w:t>
      </w:r>
      <w:r w:rsidR="00217FAC" w:rsidRPr="00C10F0A">
        <w:rPr>
          <w:bCs/>
        </w:rPr>
        <w:t xml:space="preserve"> </w:t>
      </w:r>
      <w:r w:rsidRPr="00C10F0A">
        <w:rPr>
          <w:bCs/>
        </w:rPr>
        <w:t xml:space="preserve">qualitativo, sono stati trasformati negli indici corrispondenti ad una </w:t>
      </w:r>
      <w:r w:rsidRPr="00C10F0A">
        <w:rPr>
          <w:bCs/>
          <w:i/>
          <w:iCs/>
        </w:rPr>
        <w:t>scala ordinale</w:t>
      </w:r>
      <w:r w:rsidRPr="00C10F0A">
        <w:rPr>
          <w:bCs/>
        </w:rPr>
        <w:t xml:space="preserve"> (tra l’altro di maggior dettaglio rispetto a quella suggerita dal PNA):</w:t>
      </w:r>
      <w:r w:rsidR="00217FAC" w:rsidRPr="00C10F0A">
        <w:rPr>
          <w:bCs/>
        </w:rPr>
        <w:t xml:space="preserve"> </w:t>
      </w:r>
    </w:p>
    <w:tbl>
      <w:tblPr>
        <w:tblStyle w:val="Tabellasemplice-3"/>
        <w:tblW w:w="0" w:type="auto"/>
        <w:tblLook w:val="04A0" w:firstRow="1" w:lastRow="0" w:firstColumn="1" w:lastColumn="0" w:noHBand="0" w:noVBand="1"/>
      </w:tblPr>
      <w:tblGrid>
        <w:gridCol w:w="5343"/>
        <w:gridCol w:w="2703"/>
      </w:tblGrid>
      <w:tr w:rsidR="00C10F0A" w:rsidRPr="00C10F0A" w14:paraId="17619BCD" w14:textId="77777777" w:rsidTr="002577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43" w:type="dxa"/>
          </w:tcPr>
          <w:p w14:paraId="5FC8D8E3" w14:textId="77777777" w:rsidR="00722121" w:rsidRPr="00C10F0A" w:rsidRDefault="00722121" w:rsidP="00860921">
            <w:pPr>
              <w:jc w:val="center"/>
              <w:rPr>
                <w:rFonts w:cs="Arial"/>
                <w:b w:val="0"/>
                <w:bCs w:val="0"/>
              </w:rPr>
            </w:pPr>
            <w:r w:rsidRPr="00C10F0A">
              <w:rPr>
                <w:rFonts w:cs="Arial"/>
              </w:rPr>
              <w:t xml:space="preserve"> Livello di rischio</w:t>
            </w:r>
          </w:p>
        </w:tc>
        <w:tc>
          <w:tcPr>
            <w:tcW w:w="2703" w:type="dxa"/>
          </w:tcPr>
          <w:p w14:paraId="37356B49" w14:textId="77777777" w:rsidR="00722121" w:rsidRPr="00C10F0A" w:rsidRDefault="00722121" w:rsidP="00860921">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tc>
      </w:tr>
      <w:tr w:rsidR="00C10F0A" w:rsidRPr="00C10F0A" w14:paraId="2944B5B3" w14:textId="77777777" w:rsidTr="00257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16A2B781" w14:textId="79702D92" w:rsidR="00722121" w:rsidRPr="00C10F0A" w:rsidRDefault="00BD0F14" w:rsidP="00860921">
            <w:pPr>
              <w:rPr>
                <w:rFonts w:cs="Arial"/>
                <w:b w:val="0"/>
                <w:bCs w:val="0"/>
                <w:iCs/>
                <w:caps w:val="0"/>
              </w:rPr>
            </w:pPr>
            <w:r w:rsidRPr="00C10F0A">
              <w:rPr>
                <w:rFonts w:cs="Arial"/>
                <w:b w:val="0"/>
                <w:bCs w:val="0"/>
                <w:iCs/>
                <w:caps w:val="0"/>
              </w:rPr>
              <w:t>Rischio quasi nullo</w:t>
            </w:r>
          </w:p>
        </w:tc>
        <w:tc>
          <w:tcPr>
            <w:tcW w:w="2703" w:type="dxa"/>
          </w:tcPr>
          <w:p w14:paraId="7B6693E5" w14:textId="77777777" w:rsidR="00722121" w:rsidRPr="00C10F0A" w:rsidRDefault="00722121" w:rsidP="00860921">
            <w:pPr>
              <w:jc w:val="center"/>
              <w:cnfStyle w:val="000000100000" w:firstRow="0" w:lastRow="0" w:firstColumn="0" w:lastColumn="0" w:oddVBand="0" w:evenVBand="0" w:oddHBand="1" w:evenHBand="0" w:firstRowFirstColumn="0" w:firstRowLastColumn="0" w:lastRowFirstColumn="0" w:lastRowLastColumn="0"/>
              <w:rPr>
                <w:rFonts w:cs="Arial"/>
                <w:b/>
                <w:bCs/>
              </w:rPr>
            </w:pPr>
            <w:r w:rsidRPr="00C10F0A">
              <w:rPr>
                <w:rFonts w:cs="Arial"/>
                <w:b/>
                <w:bCs/>
              </w:rPr>
              <w:t>N</w:t>
            </w:r>
          </w:p>
        </w:tc>
      </w:tr>
      <w:tr w:rsidR="00C10F0A" w:rsidRPr="00C10F0A" w14:paraId="035DE02B" w14:textId="77777777" w:rsidTr="002577AD">
        <w:tc>
          <w:tcPr>
            <w:cnfStyle w:val="001000000000" w:firstRow="0" w:lastRow="0" w:firstColumn="1" w:lastColumn="0" w:oddVBand="0" w:evenVBand="0" w:oddHBand="0" w:evenHBand="0" w:firstRowFirstColumn="0" w:firstRowLastColumn="0" w:lastRowFirstColumn="0" w:lastRowLastColumn="0"/>
            <w:tcW w:w="5343" w:type="dxa"/>
          </w:tcPr>
          <w:p w14:paraId="4BFB5118" w14:textId="77777777" w:rsidR="00722121" w:rsidRPr="00C10F0A" w:rsidRDefault="00722121" w:rsidP="00860921">
            <w:pPr>
              <w:rPr>
                <w:rFonts w:cs="Arial"/>
                <w:b w:val="0"/>
                <w:bCs w:val="0"/>
                <w:iCs/>
                <w:caps w:val="0"/>
              </w:rPr>
            </w:pPr>
            <w:r w:rsidRPr="00C10F0A">
              <w:rPr>
                <w:rFonts w:cs="Arial"/>
                <w:b w:val="0"/>
                <w:bCs w:val="0"/>
                <w:iCs/>
                <w:caps w:val="0"/>
              </w:rPr>
              <w:t>Rischio molto basso</w:t>
            </w:r>
          </w:p>
        </w:tc>
        <w:tc>
          <w:tcPr>
            <w:tcW w:w="2703" w:type="dxa"/>
          </w:tcPr>
          <w:p w14:paraId="0362E0FC" w14:textId="77777777" w:rsidR="00722121" w:rsidRPr="00C10F0A" w:rsidRDefault="00722121" w:rsidP="00860921">
            <w:pPr>
              <w:jc w:val="center"/>
              <w:cnfStyle w:val="000000000000" w:firstRow="0" w:lastRow="0" w:firstColumn="0" w:lastColumn="0" w:oddVBand="0" w:evenVBand="0" w:oddHBand="0" w:evenHBand="0" w:firstRowFirstColumn="0" w:firstRowLastColumn="0" w:lastRowFirstColumn="0" w:lastRowLastColumn="0"/>
              <w:rPr>
                <w:rFonts w:cs="Arial"/>
                <w:b/>
                <w:bCs/>
              </w:rPr>
            </w:pPr>
            <w:r w:rsidRPr="00C10F0A">
              <w:rPr>
                <w:rFonts w:cs="Arial"/>
                <w:b/>
                <w:bCs/>
              </w:rPr>
              <w:t>B-</w:t>
            </w:r>
          </w:p>
        </w:tc>
      </w:tr>
      <w:tr w:rsidR="00C10F0A" w:rsidRPr="00C10F0A" w14:paraId="4B4F5774" w14:textId="77777777" w:rsidTr="00257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436D8313" w14:textId="77777777" w:rsidR="00722121" w:rsidRPr="00C10F0A" w:rsidRDefault="00722121" w:rsidP="00860921">
            <w:pPr>
              <w:rPr>
                <w:rFonts w:cs="Arial"/>
                <w:b w:val="0"/>
                <w:bCs w:val="0"/>
                <w:iCs/>
                <w:caps w:val="0"/>
              </w:rPr>
            </w:pPr>
            <w:r w:rsidRPr="00C10F0A">
              <w:rPr>
                <w:rFonts w:cs="Arial"/>
                <w:b w:val="0"/>
                <w:bCs w:val="0"/>
                <w:iCs/>
                <w:caps w:val="0"/>
              </w:rPr>
              <w:t>Rischio basso</w:t>
            </w:r>
          </w:p>
        </w:tc>
        <w:tc>
          <w:tcPr>
            <w:tcW w:w="2703" w:type="dxa"/>
          </w:tcPr>
          <w:p w14:paraId="5B4A453F" w14:textId="77777777" w:rsidR="00722121" w:rsidRPr="00C10F0A" w:rsidRDefault="00722121" w:rsidP="00860921">
            <w:pPr>
              <w:jc w:val="center"/>
              <w:cnfStyle w:val="000000100000" w:firstRow="0" w:lastRow="0" w:firstColumn="0" w:lastColumn="0" w:oddVBand="0" w:evenVBand="0" w:oddHBand="1" w:evenHBand="0" w:firstRowFirstColumn="0" w:firstRowLastColumn="0" w:lastRowFirstColumn="0" w:lastRowLastColumn="0"/>
              <w:rPr>
                <w:rFonts w:cs="Arial"/>
                <w:b/>
                <w:bCs/>
              </w:rPr>
            </w:pPr>
            <w:r w:rsidRPr="00C10F0A">
              <w:rPr>
                <w:rFonts w:cs="Arial"/>
                <w:b/>
                <w:bCs/>
              </w:rPr>
              <w:t>B</w:t>
            </w:r>
          </w:p>
        </w:tc>
      </w:tr>
      <w:tr w:rsidR="00C10F0A" w:rsidRPr="00C10F0A" w14:paraId="64B37AAC" w14:textId="77777777" w:rsidTr="002577AD">
        <w:tc>
          <w:tcPr>
            <w:cnfStyle w:val="001000000000" w:firstRow="0" w:lastRow="0" w:firstColumn="1" w:lastColumn="0" w:oddVBand="0" w:evenVBand="0" w:oddHBand="0" w:evenHBand="0" w:firstRowFirstColumn="0" w:firstRowLastColumn="0" w:lastRowFirstColumn="0" w:lastRowLastColumn="0"/>
            <w:tcW w:w="5343" w:type="dxa"/>
          </w:tcPr>
          <w:p w14:paraId="3DDAE79D" w14:textId="77777777" w:rsidR="00722121" w:rsidRPr="00C10F0A" w:rsidRDefault="00722121" w:rsidP="00860921">
            <w:pPr>
              <w:rPr>
                <w:rFonts w:cs="Arial"/>
                <w:b w:val="0"/>
                <w:bCs w:val="0"/>
                <w:iCs/>
                <w:caps w:val="0"/>
              </w:rPr>
            </w:pPr>
            <w:r w:rsidRPr="00C10F0A">
              <w:rPr>
                <w:rFonts w:cs="Arial"/>
                <w:b w:val="0"/>
                <w:bCs w:val="0"/>
                <w:iCs/>
                <w:caps w:val="0"/>
              </w:rPr>
              <w:t>Rischio moderato</w:t>
            </w:r>
          </w:p>
        </w:tc>
        <w:tc>
          <w:tcPr>
            <w:tcW w:w="2703" w:type="dxa"/>
          </w:tcPr>
          <w:p w14:paraId="11F45026" w14:textId="77777777" w:rsidR="00722121" w:rsidRPr="00C10F0A" w:rsidRDefault="00722121" w:rsidP="00860921">
            <w:pPr>
              <w:jc w:val="center"/>
              <w:cnfStyle w:val="000000000000" w:firstRow="0" w:lastRow="0" w:firstColumn="0" w:lastColumn="0" w:oddVBand="0" w:evenVBand="0" w:oddHBand="0" w:evenHBand="0" w:firstRowFirstColumn="0" w:firstRowLastColumn="0" w:lastRowFirstColumn="0" w:lastRowLastColumn="0"/>
              <w:rPr>
                <w:rFonts w:cs="Arial"/>
                <w:b/>
                <w:bCs/>
              </w:rPr>
            </w:pPr>
            <w:r w:rsidRPr="00C10F0A">
              <w:rPr>
                <w:rFonts w:cs="Arial"/>
                <w:b/>
                <w:bCs/>
              </w:rPr>
              <w:t>M</w:t>
            </w:r>
          </w:p>
        </w:tc>
      </w:tr>
      <w:tr w:rsidR="00C10F0A" w:rsidRPr="00C10F0A" w14:paraId="791D549A" w14:textId="77777777" w:rsidTr="00257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54761384" w14:textId="77777777" w:rsidR="00722121" w:rsidRPr="00C10F0A" w:rsidRDefault="00722121" w:rsidP="00860921">
            <w:pPr>
              <w:rPr>
                <w:rFonts w:cs="Arial"/>
                <w:b w:val="0"/>
                <w:bCs w:val="0"/>
                <w:iCs/>
                <w:caps w:val="0"/>
              </w:rPr>
            </w:pPr>
            <w:r w:rsidRPr="00C10F0A">
              <w:rPr>
                <w:rFonts w:cs="Arial"/>
                <w:b w:val="0"/>
                <w:bCs w:val="0"/>
                <w:iCs/>
                <w:caps w:val="0"/>
              </w:rPr>
              <w:t>Rischio alto</w:t>
            </w:r>
          </w:p>
        </w:tc>
        <w:tc>
          <w:tcPr>
            <w:tcW w:w="2703" w:type="dxa"/>
          </w:tcPr>
          <w:p w14:paraId="50D79288" w14:textId="77777777" w:rsidR="00722121" w:rsidRPr="00C10F0A" w:rsidRDefault="00722121" w:rsidP="00860921">
            <w:pPr>
              <w:jc w:val="center"/>
              <w:cnfStyle w:val="000000100000" w:firstRow="0" w:lastRow="0" w:firstColumn="0" w:lastColumn="0" w:oddVBand="0" w:evenVBand="0" w:oddHBand="1" w:evenHBand="0" w:firstRowFirstColumn="0" w:firstRowLastColumn="0" w:lastRowFirstColumn="0" w:lastRowLastColumn="0"/>
              <w:rPr>
                <w:rFonts w:cs="Arial"/>
                <w:b/>
                <w:bCs/>
              </w:rPr>
            </w:pPr>
            <w:r w:rsidRPr="00C10F0A">
              <w:rPr>
                <w:rFonts w:cs="Arial"/>
                <w:b/>
                <w:bCs/>
              </w:rPr>
              <w:t>A</w:t>
            </w:r>
          </w:p>
        </w:tc>
      </w:tr>
      <w:tr w:rsidR="00C10F0A" w:rsidRPr="00C10F0A" w14:paraId="3CE4E758" w14:textId="77777777" w:rsidTr="002577AD">
        <w:tc>
          <w:tcPr>
            <w:cnfStyle w:val="001000000000" w:firstRow="0" w:lastRow="0" w:firstColumn="1" w:lastColumn="0" w:oddVBand="0" w:evenVBand="0" w:oddHBand="0" w:evenHBand="0" w:firstRowFirstColumn="0" w:firstRowLastColumn="0" w:lastRowFirstColumn="0" w:lastRowLastColumn="0"/>
            <w:tcW w:w="5343" w:type="dxa"/>
          </w:tcPr>
          <w:p w14:paraId="7543990B" w14:textId="77777777" w:rsidR="00722121" w:rsidRPr="00C10F0A" w:rsidRDefault="00722121" w:rsidP="00860921">
            <w:pPr>
              <w:rPr>
                <w:rFonts w:cs="Arial"/>
                <w:b w:val="0"/>
                <w:bCs w:val="0"/>
                <w:iCs/>
                <w:caps w:val="0"/>
              </w:rPr>
            </w:pPr>
            <w:r w:rsidRPr="00C10F0A">
              <w:rPr>
                <w:rFonts w:cs="Arial"/>
                <w:b w:val="0"/>
                <w:bCs w:val="0"/>
                <w:iCs/>
                <w:caps w:val="0"/>
              </w:rPr>
              <w:t>Rischio molto alto</w:t>
            </w:r>
          </w:p>
        </w:tc>
        <w:tc>
          <w:tcPr>
            <w:tcW w:w="2703" w:type="dxa"/>
          </w:tcPr>
          <w:p w14:paraId="3D533A00" w14:textId="77777777" w:rsidR="00722121" w:rsidRPr="00C10F0A" w:rsidRDefault="00722121" w:rsidP="00860921">
            <w:pPr>
              <w:jc w:val="center"/>
              <w:cnfStyle w:val="000000000000" w:firstRow="0" w:lastRow="0" w:firstColumn="0" w:lastColumn="0" w:oddVBand="0" w:evenVBand="0" w:oddHBand="0" w:evenHBand="0" w:firstRowFirstColumn="0" w:firstRowLastColumn="0" w:lastRowFirstColumn="0" w:lastRowLastColumn="0"/>
              <w:rPr>
                <w:rFonts w:cs="Arial"/>
                <w:b/>
                <w:bCs/>
              </w:rPr>
            </w:pPr>
            <w:r w:rsidRPr="00C10F0A">
              <w:rPr>
                <w:rFonts w:cs="Arial"/>
                <w:b/>
                <w:bCs/>
              </w:rPr>
              <w:t>A+</w:t>
            </w:r>
          </w:p>
        </w:tc>
      </w:tr>
      <w:tr w:rsidR="00C10F0A" w:rsidRPr="00C10F0A" w14:paraId="0F3802A3" w14:textId="77777777" w:rsidTr="00257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3" w:type="dxa"/>
          </w:tcPr>
          <w:p w14:paraId="348BF08A" w14:textId="77777777" w:rsidR="00722121" w:rsidRPr="00C10F0A" w:rsidRDefault="00722121" w:rsidP="00860921">
            <w:pPr>
              <w:rPr>
                <w:rFonts w:cs="Arial"/>
                <w:b w:val="0"/>
                <w:bCs w:val="0"/>
                <w:iCs/>
                <w:caps w:val="0"/>
              </w:rPr>
            </w:pPr>
            <w:r w:rsidRPr="00C10F0A">
              <w:rPr>
                <w:rFonts w:cs="Arial"/>
                <w:b w:val="0"/>
                <w:bCs w:val="0"/>
                <w:iCs/>
                <w:caps w:val="0"/>
              </w:rPr>
              <w:t>Rischio altissimo</w:t>
            </w:r>
          </w:p>
        </w:tc>
        <w:tc>
          <w:tcPr>
            <w:tcW w:w="2703" w:type="dxa"/>
          </w:tcPr>
          <w:p w14:paraId="7797A23D" w14:textId="77777777" w:rsidR="00722121" w:rsidRPr="00C10F0A" w:rsidRDefault="00722121" w:rsidP="00860921">
            <w:pPr>
              <w:jc w:val="center"/>
              <w:cnfStyle w:val="000000100000" w:firstRow="0" w:lastRow="0" w:firstColumn="0" w:lastColumn="0" w:oddVBand="0" w:evenVBand="0" w:oddHBand="1" w:evenHBand="0" w:firstRowFirstColumn="0" w:firstRowLastColumn="0" w:lastRowFirstColumn="0" w:lastRowLastColumn="0"/>
              <w:rPr>
                <w:rFonts w:cs="Arial"/>
                <w:b/>
                <w:bCs/>
              </w:rPr>
            </w:pPr>
            <w:r w:rsidRPr="00C10F0A">
              <w:rPr>
                <w:rFonts w:cs="Arial"/>
                <w:b/>
                <w:bCs/>
              </w:rPr>
              <w:t>A++</w:t>
            </w:r>
          </w:p>
        </w:tc>
      </w:tr>
    </w:tbl>
    <w:p w14:paraId="6381A5CB" w14:textId="77777777" w:rsidR="00217FAC" w:rsidRPr="00860921" w:rsidRDefault="00217FAC" w:rsidP="00860921">
      <w:pPr>
        <w:rPr>
          <w:rFonts w:cs="Arial"/>
          <w:bCs/>
          <w:color w:val="EE0000"/>
          <w:sz w:val="24"/>
          <w:szCs w:val="24"/>
        </w:rPr>
      </w:pPr>
    </w:p>
    <w:p w14:paraId="6282C67D" w14:textId="56DA350E" w:rsidR="00A3772B" w:rsidRPr="00C10F0A" w:rsidRDefault="00A3772B" w:rsidP="00C10F0A">
      <w:r w:rsidRPr="00C10F0A">
        <w:t>I risultati dell</w:t>
      </w:r>
      <w:r w:rsidR="00284B59" w:rsidRPr="00C10F0A">
        <w:t xml:space="preserve">’analisi </w:t>
      </w:r>
      <w:r w:rsidRPr="00C10F0A">
        <w:t xml:space="preserve">sono riportati nelle schede allegate denominate </w:t>
      </w:r>
      <w:r w:rsidR="00722121" w:rsidRPr="00C10F0A">
        <w:rPr>
          <w:u w:val="single"/>
        </w:rPr>
        <w:t xml:space="preserve">B- </w:t>
      </w:r>
      <w:r w:rsidRPr="00C10F0A">
        <w:rPr>
          <w:u w:val="single"/>
        </w:rPr>
        <w:t>Analisi dei rischi</w:t>
      </w:r>
      <w:r w:rsidR="00284B59" w:rsidRPr="00C10F0A">
        <w:t xml:space="preserve"> (colonna L</w:t>
      </w:r>
      <w:r w:rsidR="00217FAC" w:rsidRPr="00C10F0A">
        <w:t xml:space="preserve">, </w:t>
      </w:r>
      <w:r w:rsidR="00217FAC" w:rsidRPr="00C10F0A">
        <w:rPr>
          <w:i/>
          <w:iCs/>
        </w:rPr>
        <w:t>Livello di rischio</w:t>
      </w:r>
      <w:r w:rsidR="00284B59" w:rsidRPr="00C10F0A">
        <w:t xml:space="preserve">). </w:t>
      </w:r>
    </w:p>
    <w:p w14:paraId="453B3039" w14:textId="77777777" w:rsidR="002F0CA3" w:rsidRPr="00860921" w:rsidRDefault="002F0CA3" w:rsidP="00860921">
      <w:pPr>
        <w:rPr>
          <w:rFonts w:cs="Arial"/>
          <w:bCs/>
          <w:color w:val="EE0000"/>
          <w:sz w:val="24"/>
          <w:szCs w:val="24"/>
        </w:rPr>
      </w:pPr>
    </w:p>
    <w:p w14:paraId="7F12E8FE" w14:textId="67E94872" w:rsidR="00CA284E" w:rsidRPr="00860921" w:rsidRDefault="00CA284E" w:rsidP="00C10F0A">
      <w:pPr>
        <w:pStyle w:val="Titolo4"/>
      </w:pPr>
      <w:bookmarkStart w:id="56" w:name="_Toc87523802"/>
      <w:bookmarkStart w:id="57" w:name="_Toc97543240"/>
      <w:bookmarkStart w:id="58" w:name="_Toc150499200"/>
      <w:r w:rsidRPr="00860921">
        <w:lastRenderedPageBreak/>
        <w:t>La ponderazione</w:t>
      </w:r>
      <w:bookmarkEnd w:id="56"/>
      <w:r w:rsidR="00BF2F72" w:rsidRPr="00860921">
        <w:t xml:space="preserve"> del rischio</w:t>
      </w:r>
      <w:bookmarkEnd w:id="57"/>
      <w:bookmarkEnd w:id="58"/>
    </w:p>
    <w:p w14:paraId="77BAAF31" w14:textId="38977719" w:rsidR="002F0CA3" w:rsidRPr="00860921" w:rsidRDefault="00CA284E" w:rsidP="00C10F0A">
      <w:bookmarkStart w:id="59" w:name="_Hlk120617857"/>
      <w:r w:rsidRPr="00860921">
        <w:t xml:space="preserve">La ponderazione è </w:t>
      </w:r>
      <w:r w:rsidR="003302DD" w:rsidRPr="00860921">
        <w:t xml:space="preserve">la </w:t>
      </w:r>
      <w:r w:rsidR="008D4633" w:rsidRPr="00860921">
        <w:t xml:space="preserve">fase </w:t>
      </w:r>
      <w:r w:rsidR="003302DD" w:rsidRPr="00860921">
        <w:t xml:space="preserve">conclusiva </w:t>
      </w:r>
      <w:r w:rsidR="008D4633" w:rsidRPr="00860921">
        <w:t xml:space="preserve">processo di </w:t>
      </w:r>
      <w:r w:rsidRPr="00860921">
        <w:t xml:space="preserve">valutazione. </w:t>
      </w:r>
      <w:r w:rsidR="00217FAC" w:rsidRPr="00860921">
        <w:t>H</w:t>
      </w:r>
      <w:r w:rsidR="002F0CA3" w:rsidRPr="00860921">
        <w:t>a lo scopo di stabilire le azioni da intraprendere</w:t>
      </w:r>
      <w:r w:rsidR="00322FB3" w:rsidRPr="00860921">
        <w:t>,</w:t>
      </w:r>
      <w:r w:rsidR="002F0CA3" w:rsidRPr="00860921">
        <w:t xml:space="preserve"> per ridurre </w:t>
      </w:r>
      <w:r w:rsidR="00217FAC" w:rsidRPr="00860921">
        <w:t xml:space="preserve">il </w:t>
      </w:r>
      <w:r w:rsidR="002F0CA3" w:rsidRPr="00860921">
        <w:t>rischio</w:t>
      </w:r>
      <w:r w:rsidR="00322FB3" w:rsidRPr="00860921">
        <w:t>,</w:t>
      </w:r>
      <w:r w:rsidR="002F0CA3" w:rsidRPr="00860921">
        <w:t xml:space="preserve"> e le priorità di trattamento, considerando gli obiettivi dell’organizzazione e il contesto in cui la stessa opera. I criteri </w:t>
      </w:r>
      <w:r w:rsidR="00217FAC" w:rsidRPr="00860921">
        <w:t>di</w:t>
      </w:r>
      <w:r w:rsidR="002F0CA3" w:rsidRPr="00860921">
        <w:t xml:space="preserve"> valutazione dell’esposizione al rischio possono essere tradotti operativamente in indicatori di rischio (key risk </w:t>
      </w:r>
      <w:proofErr w:type="spellStart"/>
      <w:r w:rsidR="002F0CA3" w:rsidRPr="00860921">
        <w:t>indicators</w:t>
      </w:r>
      <w:proofErr w:type="spellEnd"/>
      <w:r w:rsidR="002F0CA3" w:rsidRPr="00860921">
        <w:t xml:space="preserve">) in grado di fornire delle </w:t>
      </w:r>
      <w:r w:rsidR="00217FAC" w:rsidRPr="00860921">
        <w:t xml:space="preserve">misure </w:t>
      </w:r>
      <w:r w:rsidR="002F0CA3" w:rsidRPr="00860921">
        <w:t>sul livello di esposizione al rischio del processo. Partendo dalla misurazione dei singoli indicatori, s</w:t>
      </w:r>
      <w:r w:rsidR="00217FAC" w:rsidRPr="00860921">
        <w:t>i</w:t>
      </w:r>
      <w:r w:rsidR="002F0CA3" w:rsidRPr="00860921">
        <w:t xml:space="preserve"> perv</w:t>
      </w:r>
      <w:r w:rsidR="00217FAC" w:rsidRPr="00860921">
        <w:t>iene</w:t>
      </w:r>
      <w:r w:rsidR="002F0CA3" w:rsidRPr="00860921">
        <w:t xml:space="preserve"> ad una valutazione complessiva del livello di esposizione al rischio</w:t>
      </w:r>
      <w:r w:rsidR="00217FAC" w:rsidRPr="00860921">
        <w:t xml:space="preserve"> il cui scopo è </w:t>
      </w:r>
      <w:r w:rsidR="002F0CA3" w:rsidRPr="00860921">
        <w:t>fornire una misurazione sintetica del livello di rischio.</w:t>
      </w:r>
    </w:p>
    <w:bookmarkEnd w:id="59"/>
    <w:p w14:paraId="3F198549" w14:textId="77777777" w:rsidR="002F0CA3" w:rsidRPr="00860921" w:rsidRDefault="002F0CA3" w:rsidP="00860921">
      <w:pPr>
        <w:rPr>
          <w:rFonts w:cs="Arial"/>
          <w:bCs/>
          <w:i/>
          <w:iCs/>
          <w:color w:val="FF0000"/>
          <w:sz w:val="24"/>
          <w:szCs w:val="24"/>
        </w:rPr>
      </w:pPr>
    </w:p>
    <w:p w14:paraId="552742D9" w14:textId="54571CF5" w:rsidR="001D6F11" w:rsidRPr="00860921" w:rsidRDefault="00BF2F72" w:rsidP="00C10F0A">
      <w:pPr>
        <w:pStyle w:val="Titolo1"/>
      </w:pPr>
      <w:bookmarkStart w:id="60" w:name="_Toc87523803"/>
      <w:bookmarkStart w:id="61" w:name="_Toc97543241"/>
      <w:bookmarkStart w:id="62" w:name="_Toc150499201"/>
      <w:r w:rsidRPr="00860921">
        <w:t>Il t</w:t>
      </w:r>
      <w:r w:rsidR="001D6F11" w:rsidRPr="00860921">
        <w:t>rattamento del risch</w:t>
      </w:r>
      <w:bookmarkEnd w:id="60"/>
      <w:r w:rsidRPr="00860921">
        <w:t>io</w:t>
      </w:r>
      <w:bookmarkEnd w:id="61"/>
      <w:bookmarkEnd w:id="62"/>
    </w:p>
    <w:p w14:paraId="48E19C6C" w14:textId="6B7B21A1" w:rsidR="002F0CA3" w:rsidRPr="00C10F0A" w:rsidRDefault="002F0CA3" w:rsidP="00860921">
      <w:pPr>
        <w:autoSpaceDE w:val="0"/>
        <w:autoSpaceDN w:val="0"/>
        <w:adjustRightInd w:val="0"/>
        <w:rPr>
          <w:rFonts w:cs="Arial"/>
          <w:bCs/>
        </w:rPr>
      </w:pPr>
      <w:bookmarkStart w:id="63" w:name="_Hlk120618164"/>
      <w:r w:rsidRPr="00C10F0A">
        <w:rPr>
          <w:rFonts w:cs="Arial"/>
          <w:bCs/>
        </w:rPr>
        <w:t xml:space="preserve">Il trattamento del rischio consiste nell’individuazione, la progettazione e la programmazione delle </w:t>
      </w:r>
      <w:r w:rsidRPr="00C10F0A">
        <w:rPr>
          <w:rFonts w:cs="Arial"/>
          <w:bCs/>
          <w:i/>
          <w:iCs/>
        </w:rPr>
        <w:t>misure generali e specifiche</w:t>
      </w:r>
      <w:r w:rsidRPr="00C10F0A">
        <w:rPr>
          <w:rFonts w:cs="Arial"/>
          <w:bCs/>
        </w:rPr>
        <w:t xml:space="preserve"> finalizzate a ridurre il rischio</w:t>
      </w:r>
      <w:r w:rsidR="009B7BD2" w:rsidRPr="00C10F0A">
        <w:rPr>
          <w:rFonts w:cs="Arial"/>
          <w:bCs/>
        </w:rPr>
        <w:t>:</w:t>
      </w:r>
    </w:p>
    <w:p w14:paraId="1BA9F9FC" w14:textId="618282AC" w:rsidR="00217FAC" w:rsidRPr="00C10F0A" w:rsidRDefault="009B7BD2" w:rsidP="00860921">
      <w:pPr>
        <w:pStyle w:val="Paragrafoelenco"/>
        <w:numPr>
          <w:ilvl w:val="0"/>
          <w:numId w:val="24"/>
        </w:numPr>
        <w:rPr>
          <w:rFonts w:cs="Arial"/>
          <w:bCs/>
        </w:rPr>
      </w:pPr>
      <w:r w:rsidRPr="00C10F0A">
        <w:rPr>
          <w:rFonts w:cs="Arial"/>
          <w:bCs/>
        </w:rPr>
        <w:t>l</w:t>
      </w:r>
      <w:r w:rsidR="002F0CA3" w:rsidRPr="00C10F0A">
        <w:rPr>
          <w:rFonts w:cs="Arial"/>
          <w:bCs/>
        </w:rPr>
        <w:t xml:space="preserve">e misure generali intervengono in maniera trasversale sull’intera amministrazione e si caratterizzano per la loro incidenza sul sistema complessivo della prevenzione della corruzione e per la loro stabilità nel tempo. </w:t>
      </w:r>
    </w:p>
    <w:p w14:paraId="17D5CB85" w14:textId="5F9C607F" w:rsidR="002F0CA3" w:rsidRPr="00C10F0A" w:rsidRDefault="002F0CA3" w:rsidP="00860921">
      <w:pPr>
        <w:pStyle w:val="Paragrafoelenco"/>
        <w:numPr>
          <w:ilvl w:val="0"/>
          <w:numId w:val="24"/>
        </w:numPr>
        <w:rPr>
          <w:rFonts w:cs="Arial"/>
          <w:bCs/>
        </w:rPr>
      </w:pPr>
      <w:r w:rsidRPr="00C10F0A">
        <w:rPr>
          <w:rFonts w:cs="Arial"/>
          <w:bCs/>
        </w:rPr>
        <w:t>Le misure specifiche, che si affiancano ed aggiungono sia alle misure generali, agiscono in maniera puntuale su alcuni specifici rischi e si caratterizzano per l’incidenza su problemi peculiari.</w:t>
      </w:r>
    </w:p>
    <w:bookmarkEnd w:id="63"/>
    <w:p w14:paraId="2DD3D8EC" w14:textId="77777777" w:rsidR="001D6F11" w:rsidRPr="00860921" w:rsidRDefault="001D6F11" w:rsidP="00860921">
      <w:pPr>
        <w:rPr>
          <w:rFonts w:cs="Arial"/>
          <w:bCs/>
          <w:color w:val="002060"/>
          <w:sz w:val="24"/>
          <w:szCs w:val="24"/>
        </w:rPr>
      </w:pPr>
    </w:p>
    <w:p w14:paraId="33359187" w14:textId="70BA2DF8" w:rsidR="00A95749" w:rsidRPr="00860921" w:rsidRDefault="00A95749" w:rsidP="00C10F0A">
      <w:pPr>
        <w:pStyle w:val="Titolo3"/>
      </w:pPr>
      <w:bookmarkStart w:id="64" w:name="_Toc87523804"/>
      <w:bookmarkStart w:id="65" w:name="_Toc97543242"/>
      <w:bookmarkStart w:id="66" w:name="_Toc150499202"/>
      <w:r w:rsidRPr="00860921">
        <w:t>Individuazione delle misure</w:t>
      </w:r>
      <w:bookmarkEnd w:id="64"/>
      <w:bookmarkEnd w:id="65"/>
      <w:bookmarkEnd w:id="66"/>
    </w:p>
    <w:p w14:paraId="7DDB938A" w14:textId="11E7BD0F" w:rsidR="00A95749" w:rsidRDefault="006A77AA" w:rsidP="00C10F0A">
      <w:bookmarkStart w:id="67" w:name="_Hlk120618424"/>
      <w:r w:rsidRPr="00C10F0A">
        <w:t xml:space="preserve">Il </w:t>
      </w:r>
      <w:r w:rsidR="001D6F11" w:rsidRPr="00C10F0A">
        <w:t>prim</w:t>
      </w:r>
      <w:r w:rsidRPr="00C10F0A">
        <w:t>o</w:t>
      </w:r>
      <w:r w:rsidR="001D6F11" w:rsidRPr="00C10F0A">
        <w:t xml:space="preserve"> </w:t>
      </w:r>
      <w:r w:rsidRPr="00C10F0A">
        <w:t>step</w:t>
      </w:r>
      <w:r w:rsidR="001D6F11" w:rsidRPr="00C10F0A">
        <w:t xml:space="preserve"> del trattamento </w:t>
      </w:r>
      <w:r w:rsidR="00F22334" w:rsidRPr="00C10F0A">
        <w:t>consente di</w:t>
      </w:r>
      <w:r w:rsidR="001D6F11" w:rsidRPr="00C10F0A">
        <w:t xml:space="preserve"> identificare le misure di prevenzione, in funzione delle criticità rilevate in sede di analisi. </w:t>
      </w:r>
    </w:p>
    <w:p w14:paraId="284F9E8A" w14:textId="77777777" w:rsidR="00C10F0A" w:rsidRPr="00E74EA1" w:rsidRDefault="00C10F0A" w:rsidP="00C10F0A">
      <w:pPr>
        <w:rPr>
          <w:rFonts w:cs="Times New Roman"/>
          <w:bCs/>
        </w:rPr>
      </w:pPr>
      <w:r w:rsidRPr="004F16FF">
        <w:rPr>
          <w:rFonts w:cs="Times New Roman"/>
          <w:bCs/>
        </w:rPr>
        <w:t xml:space="preserve">In questa fase, </w:t>
      </w:r>
      <w:r>
        <w:rPr>
          <w:rFonts w:cs="Times New Roman"/>
          <w:bCs/>
        </w:rPr>
        <w:t>sono state</w:t>
      </w:r>
      <w:r w:rsidRPr="004F16FF">
        <w:rPr>
          <w:rFonts w:cs="Times New Roman"/>
          <w:bCs/>
        </w:rPr>
        <w:t xml:space="preserve"> individuat</w:t>
      </w:r>
      <w:r>
        <w:rPr>
          <w:rFonts w:cs="Times New Roman"/>
          <w:bCs/>
        </w:rPr>
        <w:t>e</w:t>
      </w:r>
      <w:r w:rsidRPr="004F16FF">
        <w:rPr>
          <w:rFonts w:cs="Times New Roman"/>
          <w:bCs/>
        </w:rPr>
        <w:t xml:space="preserve"> misure generali e misure specifiche, in particolare per i processi che hanno ottenuto una </w:t>
      </w:r>
      <w:r w:rsidRPr="00E74EA1">
        <w:rPr>
          <w:rFonts w:cs="Times New Roman"/>
          <w:bCs/>
        </w:rPr>
        <w:t xml:space="preserve">valutazione del livello di rischio A++.  </w:t>
      </w:r>
    </w:p>
    <w:p w14:paraId="1181E642" w14:textId="77777777" w:rsidR="00C10F0A" w:rsidRPr="00E74EA1" w:rsidRDefault="00C10F0A" w:rsidP="00C10F0A">
      <w:pPr>
        <w:rPr>
          <w:rFonts w:cs="Times New Roman"/>
          <w:bCs/>
        </w:rPr>
      </w:pPr>
      <w:r w:rsidRPr="00E74EA1">
        <w:rPr>
          <w:rFonts w:cs="Times New Roman"/>
          <w:bCs/>
        </w:rPr>
        <w:t xml:space="preserve">Le misure sono state puntualmente indicate e descritte nelle schede allegate denominate "Individuazione e programmazione delle misure", Allegato C. </w:t>
      </w:r>
    </w:p>
    <w:p w14:paraId="3F6B2873" w14:textId="77777777" w:rsidR="00C10F0A" w:rsidRPr="00E74EA1" w:rsidRDefault="00C10F0A" w:rsidP="00C10F0A">
      <w:pPr>
        <w:rPr>
          <w:rFonts w:cs="Times New Roman"/>
          <w:bCs/>
        </w:rPr>
      </w:pPr>
      <w:r w:rsidRPr="00E74EA1">
        <w:rPr>
          <w:rFonts w:cs="Times New Roman"/>
          <w:bCs/>
        </w:rPr>
        <w:t>Le misure sono elencate e descritte nella colonna E delle suddette schede.</w:t>
      </w:r>
    </w:p>
    <w:p w14:paraId="0CFB9FA5" w14:textId="77777777" w:rsidR="00C10F0A" w:rsidRPr="00E74EA1" w:rsidRDefault="00C10F0A" w:rsidP="00C10F0A">
      <w:pPr>
        <w:rPr>
          <w:rFonts w:cs="Times New Roman"/>
          <w:bCs/>
        </w:rPr>
      </w:pPr>
      <w:r w:rsidRPr="00E74EA1">
        <w:rPr>
          <w:rFonts w:cs="Times New Roman"/>
          <w:bCs/>
        </w:rPr>
        <w:t xml:space="preserve">Per ciascun oggetto analisi è stata individuata e programmata almeno una misura di contrasto o prevenzione, secondo il criterio del "miglior rapporto costo/efficacia". </w:t>
      </w:r>
    </w:p>
    <w:p w14:paraId="32576998" w14:textId="76331E72" w:rsidR="00C10F0A" w:rsidRPr="00C10F0A" w:rsidRDefault="00C10F0A" w:rsidP="00C10F0A">
      <w:r w:rsidRPr="00E74EA1">
        <w:rPr>
          <w:rFonts w:cs="Times New Roman"/>
          <w:bCs/>
        </w:rPr>
        <w:t>Le principali misure, inoltre, sono state ripartite per singola “area di rischio”</w:t>
      </w:r>
      <w:r>
        <w:rPr>
          <w:rFonts w:cs="Times New Roman"/>
          <w:bCs/>
        </w:rPr>
        <w:t>.</w:t>
      </w:r>
    </w:p>
    <w:p w14:paraId="36DB7DFA" w14:textId="77777777" w:rsidR="00C41B03" w:rsidRPr="00C10F0A" w:rsidRDefault="00C41B03" w:rsidP="00C10F0A">
      <w:bookmarkStart w:id="68" w:name="_Hlk120618434"/>
      <w:r w:rsidRPr="00C10F0A">
        <w:t xml:space="preserve">La seconda parte del trattamento è la programmazione operativa delle misure. </w:t>
      </w:r>
    </w:p>
    <w:bookmarkEnd w:id="67"/>
    <w:bookmarkEnd w:id="68"/>
    <w:p w14:paraId="60A1CBBB" w14:textId="77777777" w:rsidR="00C10F0A" w:rsidRPr="004F16FF" w:rsidRDefault="00C10F0A" w:rsidP="00C10F0A">
      <w:pPr>
        <w:rPr>
          <w:rFonts w:cs="Times New Roman"/>
          <w:bCs/>
        </w:rPr>
      </w:pPr>
      <w:r w:rsidRPr="004F16FF">
        <w:rPr>
          <w:rFonts w:cs="Times New Roman"/>
          <w:bCs/>
        </w:rPr>
        <w:t xml:space="preserve">In questa fase, dopo aver individuato misure generali e misure specifiche </w:t>
      </w:r>
      <w:r>
        <w:rPr>
          <w:rFonts w:cs="Times New Roman"/>
          <w:bCs/>
        </w:rPr>
        <w:t>si è</w:t>
      </w:r>
      <w:r w:rsidRPr="004F16FF">
        <w:rPr>
          <w:rFonts w:cs="Times New Roman"/>
          <w:bCs/>
        </w:rPr>
        <w:t xml:space="preserve"> provveduto alla programmazione temporale dell’attuazione medesime, fissando anche le modalità di attuazione.</w:t>
      </w:r>
    </w:p>
    <w:p w14:paraId="607AB9CD" w14:textId="2870D4A7" w:rsidR="002F0CA3" w:rsidRPr="00860921" w:rsidRDefault="002F0CA3" w:rsidP="00860921">
      <w:pPr>
        <w:rPr>
          <w:rFonts w:cs="Arial"/>
          <w:bCs/>
          <w:color w:val="FF0000"/>
          <w:sz w:val="24"/>
          <w:szCs w:val="24"/>
        </w:rPr>
      </w:pPr>
    </w:p>
    <w:p w14:paraId="4ACDDF7E" w14:textId="0A9B2643" w:rsidR="0031562C" w:rsidRPr="00860921" w:rsidRDefault="0031562C" w:rsidP="00C10F0A">
      <w:pPr>
        <w:pStyle w:val="Titolo1"/>
      </w:pPr>
      <w:bookmarkStart w:id="69" w:name="_Toc150499203"/>
      <w:r w:rsidRPr="00860921">
        <w:t xml:space="preserve">Le misure </w:t>
      </w:r>
      <w:r w:rsidR="00313CB1" w:rsidRPr="00860921">
        <w:t>di prevenzione e contrasto</w:t>
      </w:r>
      <w:bookmarkEnd w:id="69"/>
    </w:p>
    <w:p w14:paraId="3292D542" w14:textId="77777777" w:rsidR="00C10F0A" w:rsidRDefault="00C10F0A" w:rsidP="00C10F0A">
      <w:pPr>
        <w:pStyle w:val="TitoloB"/>
        <w:keepNext/>
        <w:widowControl w:val="0"/>
        <w:spacing w:after="0" w:line="240" w:lineRule="auto"/>
        <w:ind w:right="0"/>
        <w:outlineLvl w:val="1"/>
        <w:rPr>
          <w:sz w:val="24"/>
          <w:szCs w:val="24"/>
        </w:rPr>
      </w:pPr>
      <w:bookmarkStart w:id="70" w:name="_Toc405477355"/>
      <w:bookmarkStart w:id="71" w:name="_Toc87523818"/>
      <w:bookmarkStart w:id="72" w:name="_Toc97543245"/>
      <w:bookmarkStart w:id="73" w:name="_Toc150499204"/>
      <w:bookmarkStart w:id="74" w:name="_Toc87523817"/>
    </w:p>
    <w:p w14:paraId="2E2D3926" w14:textId="0750672D" w:rsidR="00434A4B" w:rsidRPr="00860921" w:rsidRDefault="00434A4B" w:rsidP="00C10F0A">
      <w:pPr>
        <w:pStyle w:val="Titolo3"/>
      </w:pPr>
      <w:r w:rsidRPr="00860921">
        <w:t>Il Codice di comportamento</w:t>
      </w:r>
      <w:bookmarkEnd w:id="70"/>
      <w:bookmarkEnd w:id="71"/>
      <w:bookmarkEnd w:id="72"/>
      <w:bookmarkEnd w:id="73"/>
    </w:p>
    <w:p w14:paraId="1D182970" w14:textId="70B87D03" w:rsidR="00C10F0A" w:rsidRDefault="00C10F0A" w:rsidP="00860921">
      <w:pPr>
        <w:pStyle w:val="Corpotesto"/>
        <w:jc w:val="both"/>
        <w:rPr>
          <w:rFonts w:cs="Times New Roman"/>
          <w:bCs/>
        </w:rPr>
      </w:pPr>
      <w:r w:rsidRPr="00E74EA1">
        <w:rPr>
          <w:rFonts w:cs="Times New Roman"/>
          <w:bCs/>
        </w:rPr>
        <w:t xml:space="preserve">All’interno del Comune di </w:t>
      </w:r>
      <w:r w:rsidR="00A42C41">
        <w:rPr>
          <w:rFonts w:cs="Times New Roman"/>
          <w:bCs/>
        </w:rPr>
        <w:t>Genivolta</w:t>
      </w:r>
      <w:r w:rsidRPr="00E74EA1">
        <w:rPr>
          <w:rFonts w:cs="Times New Roman"/>
          <w:bCs/>
        </w:rPr>
        <w:t xml:space="preserve"> il Codice di Comportamento è stato modificato con delibera</w:t>
      </w:r>
      <w:r w:rsidR="00B21F5D">
        <w:rPr>
          <w:rFonts w:cs="Times New Roman"/>
          <w:bCs/>
        </w:rPr>
        <w:t>zione</w:t>
      </w:r>
      <w:r w:rsidRPr="00E74EA1">
        <w:rPr>
          <w:rFonts w:cs="Times New Roman"/>
          <w:bCs/>
        </w:rPr>
        <w:t xml:space="preserve"> di Giunta Comunale n. 6/2014</w:t>
      </w:r>
      <w:r>
        <w:rPr>
          <w:rFonts w:cs="Times New Roman"/>
          <w:bCs/>
        </w:rPr>
        <w:t>, rinnovato a seguito delle modifiche intervenute al</w:t>
      </w:r>
      <w:r w:rsidRPr="00E74EA1">
        <w:rPr>
          <w:rFonts w:cs="Times New Roman"/>
          <w:bCs/>
        </w:rPr>
        <w:t xml:space="preserve"> codice di comportamento nazionale </w:t>
      </w:r>
      <w:r>
        <w:rPr>
          <w:rFonts w:cs="Times New Roman"/>
          <w:bCs/>
        </w:rPr>
        <w:t xml:space="preserve">con </w:t>
      </w:r>
      <w:r w:rsidRPr="00C10F0A">
        <w:rPr>
          <w:rFonts w:cs="Times New Roman"/>
          <w:bCs/>
        </w:rPr>
        <w:t>DPR 81/2023</w:t>
      </w:r>
      <w:r>
        <w:rPr>
          <w:rFonts w:cs="Times New Roman"/>
          <w:bCs/>
        </w:rPr>
        <w:t>, il quale è</w:t>
      </w:r>
      <w:r w:rsidRPr="00C10F0A">
        <w:rPr>
          <w:rFonts w:cs="Times New Roman"/>
          <w:bCs/>
        </w:rPr>
        <w:t xml:space="preserve"> entrato in vigore il 14 luglio 2023</w:t>
      </w:r>
      <w:r w:rsidRPr="00E74EA1">
        <w:rPr>
          <w:rFonts w:cs="Times New Roman"/>
          <w:bCs/>
        </w:rPr>
        <w:t>.</w:t>
      </w:r>
      <w:r>
        <w:rPr>
          <w:rFonts w:cs="Times New Roman"/>
          <w:bCs/>
        </w:rPr>
        <w:t xml:space="preserve"> Il nuovo codice di comportamento del Comune di </w:t>
      </w:r>
      <w:r w:rsidR="00A42C41">
        <w:rPr>
          <w:rFonts w:cs="Times New Roman"/>
          <w:bCs/>
        </w:rPr>
        <w:t>Genivolta</w:t>
      </w:r>
      <w:r>
        <w:rPr>
          <w:rFonts w:cs="Times New Roman"/>
          <w:bCs/>
        </w:rPr>
        <w:t xml:space="preserve"> è stato approvato definitivamente con deliberazione di Giunta Comunale n. </w:t>
      </w:r>
      <w:r w:rsidR="001126D0">
        <w:rPr>
          <w:rFonts w:cs="Times New Roman"/>
          <w:bCs/>
        </w:rPr>
        <w:t>6</w:t>
      </w:r>
      <w:r>
        <w:rPr>
          <w:rFonts w:cs="Times New Roman"/>
          <w:bCs/>
        </w:rPr>
        <w:t xml:space="preserve"> del </w:t>
      </w:r>
      <w:r w:rsidR="007C762C">
        <w:rPr>
          <w:rFonts w:cs="Times New Roman"/>
          <w:bCs/>
        </w:rPr>
        <w:t>31.01</w:t>
      </w:r>
      <w:r>
        <w:rPr>
          <w:rFonts w:cs="Times New Roman"/>
          <w:bCs/>
        </w:rPr>
        <w:t>.2023.</w:t>
      </w:r>
    </w:p>
    <w:p w14:paraId="4482B212" w14:textId="4A759D16" w:rsidR="00434A4B" w:rsidRPr="00860921" w:rsidRDefault="00087115" w:rsidP="00C10F0A">
      <w:r w:rsidRPr="00860921">
        <w:t xml:space="preserve">PROGRAMMAZIONE: la misura è già operativa. </w:t>
      </w:r>
    </w:p>
    <w:p w14:paraId="514E553D" w14:textId="77777777" w:rsidR="00087115" w:rsidRPr="00860921" w:rsidRDefault="00087115" w:rsidP="00860921">
      <w:pPr>
        <w:pStyle w:val="Corpotesto"/>
        <w:jc w:val="both"/>
        <w:rPr>
          <w:sz w:val="24"/>
        </w:rPr>
      </w:pPr>
    </w:p>
    <w:p w14:paraId="377CB37E" w14:textId="77158A09" w:rsidR="00434A4B" w:rsidRPr="00860921" w:rsidRDefault="00434A4B" w:rsidP="00B21F5D">
      <w:pPr>
        <w:pStyle w:val="Titolo3"/>
      </w:pPr>
      <w:bookmarkStart w:id="75" w:name="_Toc87523821"/>
      <w:bookmarkStart w:id="76" w:name="_Toc97543246"/>
      <w:bookmarkStart w:id="77" w:name="_Toc150499205"/>
      <w:r w:rsidRPr="00860921">
        <w:t>Conflitto di interessi</w:t>
      </w:r>
      <w:bookmarkEnd w:id="75"/>
      <w:bookmarkEnd w:id="76"/>
      <w:bookmarkEnd w:id="77"/>
    </w:p>
    <w:p w14:paraId="38F8980D" w14:textId="77777777" w:rsidR="00B21F5D" w:rsidRPr="006E5A29" w:rsidRDefault="00B21F5D" w:rsidP="00B21F5D">
      <w:pPr>
        <w:rPr>
          <w:rFonts w:cs="Times New Roman"/>
          <w:shd w:val="clear" w:color="auto" w:fill="FFFFFF"/>
        </w:rPr>
      </w:pPr>
      <w:r w:rsidRPr="006E5A29">
        <w:rPr>
          <w:rFonts w:cs="Times New Roman"/>
          <w:shd w:val="clear" w:color="auto" w:fill="FFFFFF"/>
        </w:rPr>
        <w:t>L’art. 6-bis della legge 241/1990 (aggiunto dalla legge 190/2012, art. 1, comma 41) prevede che i responsabili del procedimento, nonché i titolari degli uffici competenti ad esprimere pareri, svolgere valutazioni tecniche e atti endoprocedimentali e ad assumere i provvedimenti conclusivi, debbano astenersi in caso di “conflitto di interessi”, segnalando ogni situazione, anche solo potenziale, di conflitto.</w:t>
      </w:r>
    </w:p>
    <w:p w14:paraId="33EE0310" w14:textId="77777777" w:rsidR="00B21F5D" w:rsidRPr="006E5A29" w:rsidRDefault="00B21F5D" w:rsidP="00B21F5D">
      <w:pPr>
        <w:rPr>
          <w:rFonts w:cs="Times New Roman"/>
          <w:shd w:val="clear" w:color="auto" w:fill="FFFFFF"/>
        </w:rPr>
      </w:pPr>
      <w:r w:rsidRPr="006E5A29">
        <w:rPr>
          <w:rFonts w:cs="Times New Roman"/>
          <w:shd w:val="clear" w:color="auto" w:fill="FFFFFF"/>
        </w:rPr>
        <w:t xml:space="preserve">Il DPR 62/2013, il Codice di comportamento dei dipendenti pubblici, norma il conflitto di interessi agli artt. 6, 7 e 14. Il dipendente pubblico ha il dovere di astenersi in ogni caso in cui esistano “gravi ragioni di convenienza”. Sull'obbligo di astensione decide il responsabile dell'ufficio di appartenenza. L’art. 7 stabilisce che il dipendente si debba astenere sia dall’assumere decisioni, che dallo svolgere attività che possano coinvolgere interessi: </w:t>
      </w:r>
    </w:p>
    <w:p w14:paraId="4CF85C92" w14:textId="77777777" w:rsidR="00B21F5D" w:rsidRPr="006E5A29" w:rsidRDefault="00B21F5D" w:rsidP="00B21F5D">
      <w:pPr>
        <w:pStyle w:val="Paragrafoelenco"/>
        <w:numPr>
          <w:ilvl w:val="0"/>
          <w:numId w:val="11"/>
        </w:numPr>
        <w:rPr>
          <w:rFonts w:cs="Times New Roman"/>
          <w:shd w:val="clear" w:color="auto" w:fill="FFFFFF"/>
        </w:rPr>
      </w:pPr>
      <w:r w:rsidRPr="006E5A29">
        <w:rPr>
          <w:rFonts w:cs="Times New Roman"/>
          <w:shd w:val="clear" w:color="auto" w:fill="FFFFFF"/>
        </w:rPr>
        <w:lastRenderedPageBreak/>
        <w:t xml:space="preserve">dello stesso dipendente;  </w:t>
      </w:r>
    </w:p>
    <w:p w14:paraId="6F042C1F" w14:textId="77777777" w:rsidR="00B21F5D" w:rsidRPr="006E5A29" w:rsidRDefault="00B21F5D" w:rsidP="00B21F5D">
      <w:pPr>
        <w:pStyle w:val="Paragrafoelenco"/>
        <w:numPr>
          <w:ilvl w:val="0"/>
          <w:numId w:val="11"/>
        </w:numPr>
        <w:rPr>
          <w:rFonts w:cs="Times New Roman"/>
          <w:shd w:val="clear" w:color="auto" w:fill="FFFFFF"/>
        </w:rPr>
      </w:pPr>
      <w:r w:rsidRPr="006E5A29">
        <w:rPr>
          <w:rFonts w:cs="Times New Roman"/>
          <w:shd w:val="clear" w:color="auto" w:fill="FFFFFF"/>
        </w:rPr>
        <w:t xml:space="preserve">di suoi parenti o affini entro il secondo grado, del coniuge o di conviventi; </w:t>
      </w:r>
    </w:p>
    <w:p w14:paraId="0E1D8E5C" w14:textId="77777777" w:rsidR="00B21F5D" w:rsidRPr="006E5A29" w:rsidRDefault="00B21F5D" w:rsidP="00B21F5D">
      <w:pPr>
        <w:pStyle w:val="Paragrafoelenco"/>
        <w:numPr>
          <w:ilvl w:val="0"/>
          <w:numId w:val="11"/>
        </w:numPr>
        <w:rPr>
          <w:rFonts w:cs="Times New Roman"/>
          <w:shd w:val="clear" w:color="auto" w:fill="FFFFFF"/>
        </w:rPr>
      </w:pPr>
      <w:r w:rsidRPr="006E5A29">
        <w:rPr>
          <w:rFonts w:cs="Times New Roman"/>
          <w:shd w:val="clear" w:color="auto" w:fill="FFFFFF"/>
        </w:rPr>
        <w:t xml:space="preserve">di persone con le quali il dipendente abbia “rapporti di frequentazione abituale”; </w:t>
      </w:r>
    </w:p>
    <w:p w14:paraId="1EEB24E2" w14:textId="77777777" w:rsidR="00B21F5D" w:rsidRPr="006E5A29" w:rsidRDefault="00B21F5D" w:rsidP="00B21F5D">
      <w:pPr>
        <w:pStyle w:val="Paragrafoelenco"/>
        <w:numPr>
          <w:ilvl w:val="0"/>
          <w:numId w:val="11"/>
        </w:numPr>
        <w:rPr>
          <w:rFonts w:cs="Times New Roman"/>
          <w:shd w:val="clear" w:color="auto" w:fill="FFFFFF"/>
        </w:rPr>
      </w:pPr>
      <w:r w:rsidRPr="006E5A29">
        <w:rPr>
          <w:rFonts w:cs="Times New Roman"/>
          <w:shd w:val="clear" w:color="auto" w:fill="FFFFFF"/>
        </w:rPr>
        <w:t xml:space="preserve">di soggetti od organizzazioni con cui il dipendente, ovvero il suo coniuge, abbia una causa pendente, ovvero rapporti di “grave inimicizia” o di credito o debito significativi; </w:t>
      </w:r>
    </w:p>
    <w:p w14:paraId="3DF2B430" w14:textId="77777777" w:rsidR="00B21F5D" w:rsidRPr="006E5A29" w:rsidRDefault="00B21F5D" w:rsidP="00B21F5D">
      <w:pPr>
        <w:pStyle w:val="Paragrafoelenco"/>
        <w:numPr>
          <w:ilvl w:val="0"/>
          <w:numId w:val="11"/>
        </w:numPr>
        <w:rPr>
          <w:rFonts w:cs="Times New Roman"/>
          <w:shd w:val="clear" w:color="auto" w:fill="FFFFFF"/>
        </w:rPr>
      </w:pPr>
      <w:r w:rsidRPr="006E5A29">
        <w:rPr>
          <w:rFonts w:cs="Times New Roman"/>
          <w:shd w:val="clear" w:color="auto" w:fill="FFFFFF"/>
        </w:rPr>
        <w:t xml:space="preserve">di soggetti od organizzazioni di cui sia tutore, curatore, procuratore o agente; </w:t>
      </w:r>
    </w:p>
    <w:p w14:paraId="22F77739" w14:textId="77777777" w:rsidR="00B21F5D" w:rsidRPr="006E5A29" w:rsidRDefault="00B21F5D" w:rsidP="00B21F5D">
      <w:pPr>
        <w:pStyle w:val="Paragrafoelenco"/>
        <w:numPr>
          <w:ilvl w:val="0"/>
          <w:numId w:val="11"/>
        </w:numPr>
        <w:rPr>
          <w:rFonts w:cs="Times New Roman"/>
          <w:shd w:val="clear" w:color="auto" w:fill="FFFFFF"/>
        </w:rPr>
      </w:pPr>
      <w:r w:rsidRPr="006E5A29">
        <w:rPr>
          <w:rFonts w:cs="Times New Roman"/>
          <w:shd w:val="clear" w:color="auto" w:fill="FFFFFF"/>
        </w:rPr>
        <w:t xml:space="preserve">di enti, associazioni anche non riconosciute, comitati, società o stabilimenti di cui sia amministratore o gerente o dirigente. </w:t>
      </w:r>
    </w:p>
    <w:p w14:paraId="0AA57AC3" w14:textId="77777777" w:rsidR="00B21F5D" w:rsidRPr="006E5A29" w:rsidRDefault="00B21F5D" w:rsidP="00B21F5D">
      <w:pPr>
        <w:rPr>
          <w:rFonts w:cs="Times New Roman"/>
          <w:bCs/>
          <w:shd w:val="clear" w:color="auto" w:fill="FFFFFF"/>
        </w:rPr>
      </w:pPr>
      <w:r w:rsidRPr="006E5A29">
        <w:rPr>
          <w:rFonts w:cs="Times New Roman"/>
          <w:bCs/>
          <w:shd w:val="clear" w:color="auto" w:fill="FFFFFF"/>
        </w:rPr>
        <w:t>Ogni qual volta si configurino le descritte situazioni di conflitto di interessi, il dipendente è tenuto a darne tempestivamente comunicazione al responsabile dell’ufficio di appartenenza, il quale valuterà, nel caso concreto, l’eventuale sussistenza del contrasto tra l’interesse privato ed il bene pubblico.</w:t>
      </w:r>
    </w:p>
    <w:p w14:paraId="09632F09" w14:textId="77777777" w:rsidR="00B21F5D" w:rsidRPr="006E5A29" w:rsidRDefault="00B21F5D" w:rsidP="00B21F5D">
      <w:pPr>
        <w:rPr>
          <w:rFonts w:cs="Times New Roman"/>
          <w:bCs/>
          <w:shd w:val="clear" w:color="auto" w:fill="FFFFFF"/>
        </w:rPr>
      </w:pPr>
      <w:r w:rsidRPr="006E5A29">
        <w:rPr>
          <w:rFonts w:cs="Times New Roman"/>
          <w:bCs/>
          <w:shd w:val="clear" w:color="auto" w:fill="FFFFFF"/>
        </w:rPr>
        <w:t xml:space="preserve">All’atto dell’assegnazione all’ufficio, il dipendente pubblico ha il dovere di dichiarare l’insussistenza di situazioni di conflitto di interessi. </w:t>
      </w:r>
    </w:p>
    <w:p w14:paraId="3D10157B" w14:textId="77777777" w:rsidR="00B21F5D" w:rsidRPr="006E5A29" w:rsidRDefault="00B21F5D" w:rsidP="00B21F5D">
      <w:pPr>
        <w:rPr>
          <w:rFonts w:cs="Times New Roman"/>
          <w:shd w:val="clear" w:color="auto" w:fill="FFFFFF"/>
        </w:rPr>
      </w:pPr>
      <w:r w:rsidRPr="006E5A29">
        <w:rPr>
          <w:rFonts w:cs="Times New Roman"/>
          <w:bCs/>
          <w:shd w:val="clear" w:color="auto" w:fill="FFFFFF"/>
        </w:rPr>
        <w:t>Deve informare per iscritto il dirigente di tutti i rapporti, diretti o indiretti, di collaborazione con soggetti privati, in qualunque modo retribuiti, che lo stesso abbia in essere o abbia avuto negli ultimi tre anni</w:t>
      </w:r>
      <w:r w:rsidRPr="006E5A29">
        <w:rPr>
          <w:rFonts w:cs="Times New Roman"/>
          <w:shd w:val="clear" w:color="auto" w:fill="FFFFFF"/>
        </w:rPr>
        <w:t xml:space="preserve">. </w:t>
      </w:r>
    </w:p>
    <w:p w14:paraId="2D14E5C7" w14:textId="77777777" w:rsidR="00B21F5D" w:rsidRPr="006E5A29" w:rsidRDefault="00B21F5D" w:rsidP="00B21F5D">
      <w:pPr>
        <w:rPr>
          <w:rFonts w:cs="Times New Roman"/>
        </w:rPr>
      </w:pPr>
      <w:r w:rsidRPr="006E5A29">
        <w:rPr>
          <w:rFonts w:cs="Times New Roman"/>
          <w:shd w:val="clear" w:color="auto" w:fill="FFFFFF"/>
        </w:rPr>
        <w:t xml:space="preserve">La suddetta comunicazione deve precisare: </w:t>
      </w:r>
    </w:p>
    <w:p w14:paraId="15BFD1D2" w14:textId="77777777" w:rsidR="00B21F5D" w:rsidRPr="006E5A29" w:rsidRDefault="00B21F5D" w:rsidP="00B21F5D">
      <w:pPr>
        <w:pStyle w:val="Paragrafoelenco"/>
        <w:numPr>
          <w:ilvl w:val="0"/>
          <w:numId w:val="8"/>
        </w:numPr>
        <w:rPr>
          <w:rFonts w:cs="Times New Roman"/>
          <w:shd w:val="clear" w:color="auto" w:fill="FFFFFF"/>
        </w:rPr>
      </w:pPr>
      <w:r w:rsidRPr="006E5A29">
        <w:rPr>
          <w:rFonts w:cs="Times New Roman"/>
          <w:shd w:val="clear" w:color="auto" w:fill="FFFFFF"/>
        </w:rPr>
        <w:t>se il dipendente personalmente, o suoi parenti, o affini entro il secondo grado, il suo coniuge o il convivente abbiano ancora rapporti finanziari con il soggetto con cui ha avuto i predetti rapporti di collaborazione;</w:t>
      </w:r>
    </w:p>
    <w:p w14:paraId="7AE1268C" w14:textId="77777777" w:rsidR="00B21F5D" w:rsidRPr="006E5A29" w:rsidRDefault="00B21F5D" w:rsidP="00B21F5D">
      <w:pPr>
        <w:pStyle w:val="Paragrafoelenco"/>
        <w:numPr>
          <w:ilvl w:val="0"/>
          <w:numId w:val="8"/>
        </w:numPr>
        <w:rPr>
          <w:rFonts w:cs="Times New Roman"/>
          <w:shd w:val="clear" w:color="auto" w:fill="FFFFFF"/>
        </w:rPr>
      </w:pPr>
      <w:r w:rsidRPr="006E5A29">
        <w:rPr>
          <w:rFonts w:cs="Times New Roman"/>
          <w:shd w:val="clear" w:color="auto" w:fill="FFFFFF"/>
        </w:rPr>
        <w:t>e se tali rapporti siano intercorsi, o intercorrano tuttora, con soggetti che abbiano interessi in attività o decisioni inerenti all'ufficio, limitatamente alle pratiche a lui affidate.</w:t>
      </w:r>
    </w:p>
    <w:p w14:paraId="2A90D115" w14:textId="77777777" w:rsidR="00B21F5D" w:rsidRPr="006E5A29" w:rsidRDefault="00B21F5D" w:rsidP="00B21F5D">
      <w:pPr>
        <w:rPr>
          <w:rFonts w:cs="Times New Roman"/>
          <w:shd w:val="clear" w:color="auto" w:fill="FFFFFF"/>
        </w:rPr>
      </w:pPr>
      <w:r w:rsidRPr="006E5A29">
        <w:rPr>
          <w:rFonts w:cs="Times New Roman"/>
          <w:shd w:val="clear" w:color="auto" w:fill="FFFFFF"/>
        </w:rPr>
        <w:t xml:space="preserve">Il dipendente, inoltre, </w:t>
      </w:r>
      <w:r w:rsidRPr="006E5A29">
        <w:rPr>
          <w:rFonts w:cs="Times New Roman"/>
          <w:bCs/>
          <w:shd w:val="clear" w:color="auto" w:fill="FFFFFF"/>
        </w:rPr>
        <w:t>ha l’obbligo di tenere aggiornata l’amministrazione sulla sopravvenienza di eventuali situazioni di conflitto di interessi</w:t>
      </w:r>
      <w:r w:rsidRPr="006E5A29">
        <w:rPr>
          <w:rFonts w:cs="Times New Roman"/>
          <w:shd w:val="clear" w:color="auto" w:fill="FFFFFF"/>
        </w:rPr>
        <w:t>.</w:t>
      </w:r>
    </w:p>
    <w:p w14:paraId="10B1CECD" w14:textId="77777777" w:rsidR="00B21F5D" w:rsidRPr="006E5A29" w:rsidRDefault="00B21F5D" w:rsidP="00B21F5D">
      <w:pPr>
        <w:rPr>
          <w:rFonts w:cs="Times New Roman"/>
          <w:shd w:val="clear" w:color="auto" w:fill="FFFFFF"/>
        </w:rPr>
      </w:pPr>
      <w:r w:rsidRPr="006E5A29">
        <w:rPr>
          <w:rFonts w:cs="Times New Roman"/>
          <w:shd w:val="clear" w:color="auto" w:fill="FFFFFF"/>
        </w:rPr>
        <w:t xml:space="preserve">Qualora il dipendente si trovi in una situazione di conflitto di interessi, anche solo potenziale, deve segnalarlo tempestivamente al dirigente o al superiore gerarchico o, in assenza di quest’ultimo, all’organo di indirizzo. </w:t>
      </w:r>
    </w:p>
    <w:p w14:paraId="10573C7B" w14:textId="77777777" w:rsidR="00B21F5D" w:rsidRPr="006E5A29" w:rsidRDefault="00B21F5D" w:rsidP="00B21F5D">
      <w:pPr>
        <w:rPr>
          <w:rFonts w:cs="Times New Roman"/>
          <w:shd w:val="clear" w:color="auto" w:fill="FFFFFF"/>
        </w:rPr>
      </w:pPr>
      <w:r w:rsidRPr="006E5A29">
        <w:rPr>
          <w:rFonts w:cs="Times New Roman"/>
          <w:shd w:val="clear" w:color="auto" w:fill="FFFFFF"/>
        </w:rPr>
        <w:t xml:space="preserve">Questi, esaminate le circostanze, valuteranno se la situazione rilevata realizzi un conflitto di interessi che leda l’imparzialità dell’agire amministrativo. In caso affermativo, ne daranno comunicazione al dipendente. </w:t>
      </w:r>
    </w:p>
    <w:p w14:paraId="7DB80263" w14:textId="77777777" w:rsidR="00B21F5D" w:rsidRPr="006E5A29" w:rsidRDefault="00B21F5D" w:rsidP="00B21F5D">
      <w:pPr>
        <w:rPr>
          <w:rFonts w:cs="Times New Roman"/>
          <w:shd w:val="clear" w:color="auto" w:fill="FFFFFF"/>
        </w:rPr>
      </w:pPr>
      <w:r w:rsidRPr="006E5A29">
        <w:rPr>
          <w:rFonts w:cs="Times New Roman"/>
          <w:shd w:val="clear" w:color="auto" w:fill="FFFFFF"/>
        </w:rPr>
        <w:t xml:space="preserve">La violazione degli obblighi di comunicazione ed astensione integra comportamenti contrari ai doveri d’ufficio e, pertanto, è fonte di responsabilità disciplinare, fatte salve eventuali ulteriori responsabilità civili, penali, contabili o amministrative. Pertanto, le attività di prevenzione, verifica e applicazione delle sanzioni sono a carico della singola amministrazione. </w:t>
      </w:r>
    </w:p>
    <w:p w14:paraId="2F1C8126" w14:textId="1517304C" w:rsidR="00B21F5D" w:rsidRPr="00350F33" w:rsidRDefault="00B21F5D" w:rsidP="00B21F5D">
      <w:pPr>
        <w:rPr>
          <w:rFonts w:cs="Times New Roman"/>
          <w:shd w:val="clear" w:color="auto" w:fill="FFFFFF"/>
        </w:rPr>
      </w:pPr>
      <w:r w:rsidRPr="00350F33">
        <w:rPr>
          <w:rFonts w:cs="Times New Roman"/>
          <w:shd w:val="clear" w:color="auto" w:fill="FFFFFF"/>
        </w:rPr>
        <w:t>MISURA PROPOSTA: Predisposizione di un modello aggiornato in cui riversare tutte le informazioni utili al fine di valutare la sussistenza di un conflitto di interessi. La dichiarazione dovrà essere resa all’inizio di ogni nuovo anno e ogni qual volta vi siano sopravvenienze di fatto o di diritto. Le dichiarazioni saranno poi rese disponibili nella sezione amministrazione trasparente del sito istituzionale dell’ente.</w:t>
      </w:r>
    </w:p>
    <w:p w14:paraId="739362CC" w14:textId="3258C46B" w:rsidR="00B21F5D" w:rsidRDefault="00B21F5D" w:rsidP="00B21F5D">
      <w:pPr>
        <w:rPr>
          <w:rFonts w:cs="Times New Roman"/>
          <w:shd w:val="clear" w:color="auto" w:fill="FFFFFF"/>
        </w:rPr>
      </w:pPr>
      <w:r>
        <w:rPr>
          <w:rFonts w:cs="Times New Roman"/>
          <w:shd w:val="clear" w:color="auto" w:fill="FFFFFF"/>
        </w:rPr>
        <w:t>PROGRAMMAZIONE</w:t>
      </w:r>
      <w:r w:rsidRPr="00350F33">
        <w:rPr>
          <w:rFonts w:cs="Times New Roman"/>
          <w:shd w:val="clear" w:color="auto" w:fill="FFFFFF"/>
        </w:rPr>
        <w:t>: all’inizio di ogni anno</w:t>
      </w:r>
      <w:r w:rsidR="009924DF">
        <w:rPr>
          <w:rFonts w:cs="Times New Roman"/>
          <w:shd w:val="clear" w:color="auto" w:fill="FFFFFF"/>
        </w:rPr>
        <w:t xml:space="preserve"> o ogni qualvolta sia necessario</w:t>
      </w:r>
      <w:r w:rsidRPr="00350F33">
        <w:rPr>
          <w:rFonts w:cs="Times New Roman"/>
          <w:shd w:val="clear" w:color="auto" w:fill="FFFFFF"/>
        </w:rPr>
        <w:t>.</w:t>
      </w:r>
    </w:p>
    <w:p w14:paraId="255764DE" w14:textId="2B14FCA6" w:rsidR="00434A4B" w:rsidRPr="00860921" w:rsidRDefault="00434A4B" w:rsidP="00860921">
      <w:pPr>
        <w:pStyle w:val="TitoloB"/>
        <w:keepNext/>
        <w:widowControl w:val="0"/>
        <w:spacing w:after="0" w:line="240" w:lineRule="auto"/>
        <w:ind w:right="0"/>
        <w:outlineLvl w:val="1"/>
        <w:rPr>
          <w:color w:val="000000" w:themeColor="text1"/>
          <w:sz w:val="24"/>
          <w:szCs w:val="24"/>
        </w:rPr>
      </w:pPr>
    </w:p>
    <w:p w14:paraId="1941BD80" w14:textId="42E6D386" w:rsidR="0034591A" w:rsidRPr="00860921" w:rsidRDefault="0034591A" w:rsidP="009924DF">
      <w:pPr>
        <w:pStyle w:val="Titolo3"/>
      </w:pPr>
      <w:bookmarkStart w:id="78" w:name="_Toc150499206"/>
      <w:r w:rsidRPr="00860921">
        <w:t>Inconferibilità e incompatibilità degli incarichi dirigenziali</w:t>
      </w:r>
      <w:bookmarkEnd w:id="78"/>
    </w:p>
    <w:p w14:paraId="5BC9BA2B" w14:textId="77777777" w:rsidR="009924DF" w:rsidRPr="006E5A29" w:rsidRDefault="009924DF" w:rsidP="009924DF">
      <w:r w:rsidRPr="006E5A29">
        <w:t xml:space="preserve">Si provvede a acquisire, conservare e verifica le dichiarazioni rese ai sensi dell’art. 20 del d.lgs. n. 39/2013. Inoltre, si effettua il monitoraggio delle singole posizioni soggettive, rivolgendo particolare attenzione alle situazioni di inconferibilità legate alle condanne per reati contro la pubblica amministrazione. </w:t>
      </w:r>
    </w:p>
    <w:p w14:paraId="64F7EF71" w14:textId="77777777" w:rsidR="009924DF" w:rsidRPr="006E5A29" w:rsidRDefault="009924DF" w:rsidP="009924DF">
      <w:r w:rsidRPr="006E5A29">
        <w:t>La procedura di conferimento degli incarichi prevede:</w:t>
      </w:r>
    </w:p>
    <w:p w14:paraId="16A9AA81" w14:textId="77777777" w:rsidR="009924DF" w:rsidRPr="006E5A29" w:rsidRDefault="009924DF" w:rsidP="009924DF">
      <w:r w:rsidRPr="006E5A29">
        <w:t xml:space="preserve">la preventiva acquisizione della dichiarazione di insussistenza di cause di inconferibilità o incompatibilità da parte del destinatario dell’incarico; </w:t>
      </w:r>
    </w:p>
    <w:p w14:paraId="05FED249" w14:textId="77777777" w:rsidR="009924DF" w:rsidRPr="006E5A29" w:rsidRDefault="009924DF" w:rsidP="009924DF">
      <w:r w:rsidRPr="006E5A29">
        <w:t xml:space="preserve">la successiva verifica annuale della suddetta dichiarazione;  </w:t>
      </w:r>
    </w:p>
    <w:p w14:paraId="1BD5EF92" w14:textId="77777777" w:rsidR="009924DF" w:rsidRPr="006E5A29" w:rsidRDefault="009924DF" w:rsidP="009924DF">
      <w:r w:rsidRPr="006E5A29">
        <w:t xml:space="preserve">il conferimento dell’incarico solo all’esito positivo della verifica (ovvero assenza di motivi ostativi al conferimento stesso); </w:t>
      </w:r>
    </w:p>
    <w:p w14:paraId="79547E97" w14:textId="77777777" w:rsidR="009924DF" w:rsidRPr="006E5A29" w:rsidRDefault="009924DF" w:rsidP="009924DF">
      <w:r w:rsidRPr="006E5A29">
        <w:t xml:space="preserve">la pubblicazione contestuale dell’atto di conferimento dell’incarico, ove necessario ai sensi dell’art. 14 del d.lgs. 33/2013, e della dichiarazione di insussistenza di cause di inconferibilità e incompatibilità, ai sensi dell’art. 20, co. 3, del d.lgs. 39/2013. </w:t>
      </w:r>
    </w:p>
    <w:p w14:paraId="1F549F60" w14:textId="7DEB4BC8" w:rsidR="009924DF" w:rsidRPr="00350F33" w:rsidRDefault="009924DF" w:rsidP="009924DF">
      <w:r w:rsidRPr="00350F33">
        <w:lastRenderedPageBreak/>
        <w:t>MISURA PROPOSTA:</w:t>
      </w:r>
      <w:r>
        <w:t xml:space="preserve"> </w:t>
      </w:r>
      <w:r w:rsidRPr="00350F33">
        <w:t>L’ente, con riferimento a</w:t>
      </w:r>
      <w:r>
        <w:t>i</w:t>
      </w:r>
      <w:r w:rsidRPr="00350F33">
        <w:t xml:space="preserve"> funzionari, applica puntualmente la disciplina degli artt. 50, comma 10, 107 e 109 del TUEL e degli artt. 13 – 27 del d.lgs. 165/2001.  </w:t>
      </w:r>
    </w:p>
    <w:p w14:paraId="0C72DEE6" w14:textId="77777777" w:rsidR="009924DF" w:rsidRPr="00350F33" w:rsidRDefault="009924DF" w:rsidP="009924DF">
      <w:r w:rsidRPr="00350F33">
        <w:t>L’ente applica le disposizioni del d.lgs. 39/2013 ed in particolare l'art. 20 (dichiarazione sulla insussistenza di cause di inconferibilità o incompatibilità).</w:t>
      </w:r>
    </w:p>
    <w:p w14:paraId="2DDDD9CC" w14:textId="627CCEDC" w:rsidR="009924DF" w:rsidRPr="00527BA7" w:rsidRDefault="009924DF" w:rsidP="009924DF">
      <w:r>
        <w:t>PROGRAMMAZIONE</w:t>
      </w:r>
      <w:r w:rsidRPr="00350F33">
        <w:t>: una volta all’anno</w:t>
      </w:r>
      <w:r>
        <w:t xml:space="preserve"> </w:t>
      </w:r>
      <w:r>
        <w:rPr>
          <w:rFonts w:cs="Times New Roman"/>
          <w:shd w:val="clear" w:color="auto" w:fill="FFFFFF"/>
        </w:rPr>
        <w:t>o ogni qualvolta sia attribuito un nuovo incarico</w:t>
      </w:r>
      <w:r w:rsidRPr="00350F33">
        <w:t>.</w:t>
      </w:r>
    </w:p>
    <w:p w14:paraId="1D37EFCB" w14:textId="77777777" w:rsidR="0034591A" w:rsidRPr="00860921" w:rsidRDefault="0034591A" w:rsidP="00860921">
      <w:pPr>
        <w:pStyle w:val="Corpotesto"/>
        <w:jc w:val="both"/>
        <w:rPr>
          <w:color w:val="000000" w:themeColor="text1"/>
          <w:sz w:val="24"/>
        </w:rPr>
      </w:pPr>
    </w:p>
    <w:p w14:paraId="616ABEAA" w14:textId="133BB421" w:rsidR="00312865" w:rsidRPr="00860921" w:rsidRDefault="00312865" w:rsidP="009924DF">
      <w:pPr>
        <w:pStyle w:val="Titolo3"/>
      </w:pPr>
      <w:bookmarkStart w:id="79" w:name="_Toc97543247"/>
      <w:bookmarkStart w:id="80" w:name="_Toc150499207"/>
      <w:bookmarkStart w:id="81" w:name="_Toc87523823"/>
      <w:r w:rsidRPr="00860921">
        <w:t>Regole per la formazione delle commissioni e per l’assegnazione degli uffici</w:t>
      </w:r>
      <w:bookmarkEnd w:id="79"/>
      <w:bookmarkEnd w:id="80"/>
      <w:r w:rsidRPr="00860921">
        <w:t xml:space="preserve"> </w:t>
      </w:r>
      <w:bookmarkEnd w:id="81"/>
      <w:r w:rsidRPr="00860921">
        <w:t xml:space="preserve">  </w:t>
      </w:r>
    </w:p>
    <w:p w14:paraId="183B04D4" w14:textId="18932DEB" w:rsidR="00312865" w:rsidRPr="00860921" w:rsidRDefault="0034591A" w:rsidP="009924DF">
      <w:r w:rsidRPr="00860921">
        <w:t>Secondo l’</w:t>
      </w:r>
      <w:r w:rsidR="00312865" w:rsidRPr="00860921">
        <w:t>art. 35-</w:t>
      </w:r>
      <w:r w:rsidR="00312865" w:rsidRPr="00860921">
        <w:rPr>
          <w:i/>
        </w:rPr>
        <w:t>bis</w:t>
      </w:r>
      <w:r w:rsidRPr="00860921">
        <w:rPr>
          <w:i/>
        </w:rPr>
        <w:t>,</w:t>
      </w:r>
      <w:r w:rsidR="00312865" w:rsidRPr="00860921">
        <w:t xml:space="preserve"> del d.lgs. 165/2001</w:t>
      </w:r>
      <w:r w:rsidR="00B23F1D" w:rsidRPr="00860921">
        <w:t xml:space="preserve"> e </w:t>
      </w:r>
      <w:proofErr w:type="spellStart"/>
      <w:r w:rsidR="00B23F1D" w:rsidRPr="00860921">
        <w:t>smi</w:t>
      </w:r>
      <w:proofErr w:type="spellEnd"/>
      <w:r w:rsidRPr="00860921">
        <w:t>, c</w:t>
      </w:r>
      <w:r w:rsidR="00312865" w:rsidRPr="00860921">
        <w:t>oloro che siano stati condannati, anche con sentenza non passata in giudicato, per i reati previsti nel Capo I del Titolo II del libro secondo del Codice penale:</w:t>
      </w:r>
    </w:p>
    <w:p w14:paraId="2B34FB8E" w14:textId="77777777" w:rsidR="00312865" w:rsidRPr="00860921" w:rsidRDefault="00312865" w:rsidP="009924DF">
      <w:pPr>
        <w:pStyle w:val="Paragrafoelenco"/>
        <w:numPr>
          <w:ilvl w:val="0"/>
          <w:numId w:val="60"/>
        </w:numPr>
      </w:pPr>
      <w:r w:rsidRPr="00860921">
        <w:t>non possano fare parte, anche con compiti di segreteria, di commissioni per l'accesso o la selezione a pubblici impieghi;</w:t>
      </w:r>
    </w:p>
    <w:p w14:paraId="2AA33574" w14:textId="77777777" w:rsidR="00312865" w:rsidRPr="00860921" w:rsidRDefault="00312865" w:rsidP="009924DF">
      <w:pPr>
        <w:pStyle w:val="Paragrafoelenco"/>
        <w:numPr>
          <w:ilvl w:val="0"/>
          <w:numId w:val="60"/>
        </w:numPr>
      </w:pPr>
      <w:r w:rsidRPr="00860921">
        <w:t xml:space="preserve">non possano essere assegnati, anche con funzioni direttive, agli uffici preposti alla gestione delle risorse finanziarie, all'acquisizione di beni, servizi e forniture, </w:t>
      </w:r>
    </w:p>
    <w:p w14:paraId="524665D3" w14:textId="77777777" w:rsidR="00312865" w:rsidRPr="00860921" w:rsidRDefault="00312865" w:rsidP="009924DF">
      <w:pPr>
        <w:pStyle w:val="Paragrafoelenco"/>
        <w:numPr>
          <w:ilvl w:val="0"/>
          <w:numId w:val="60"/>
        </w:numPr>
      </w:pPr>
      <w:r w:rsidRPr="00860921">
        <w:t>non possano essere assegnati, anche con funzioni direttive, agli uffici preposti alla concessione o all'erogazione di sovvenzioni, contributi, sussidi, ausili finanziari o attribuzioni di vantaggi economici a soggetti pubblici e privati;</w:t>
      </w:r>
    </w:p>
    <w:p w14:paraId="71BD42D0" w14:textId="77777777" w:rsidR="00312865" w:rsidRPr="00860921" w:rsidRDefault="00312865" w:rsidP="009924DF">
      <w:pPr>
        <w:pStyle w:val="Paragrafoelenco"/>
        <w:numPr>
          <w:ilvl w:val="0"/>
          <w:numId w:val="60"/>
        </w:numPr>
      </w:pPr>
      <w:r w:rsidRPr="00860921">
        <w:t>non possano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745B6702" w14:textId="2CFD8745" w:rsidR="009924DF" w:rsidRPr="009924DF" w:rsidRDefault="009924DF" w:rsidP="009924DF">
      <w:r w:rsidRPr="009924DF">
        <w:t>MISURA PROPOSTA:</w:t>
      </w:r>
      <w:r>
        <w:t xml:space="preserve"> </w:t>
      </w:r>
      <w:r w:rsidRPr="009924DF">
        <w:t xml:space="preserve">I soggetti incaricati di far parte di commissioni di gara e commissioni di concorso all’atto della designazione devono rendere, ai sensi del DPR 445/2000, una dichiarazione di insussistenza delle condizioni di incompatibilità previste dall’ordinamento. </w:t>
      </w:r>
    </w:p>
    <w:p w14:paraId="718BB71A" w14:textId="77777777" w:rsidR="009924DF" w:rsidRPr="009924DF" w:rsidRDefault="009924DF" w:rsidP="009924DF">
      <w:r w:rsidRPr="009924DF">
        <w:t xml:space="preserve">I soggetti incaricati di funzioni dirigenziali e di posizione organizzativa che comportano la direzione ed il governo di uffici o servizi, all’atto della designazione, devono rendere, ai sensi del DPR 445/2000, una dichiarazione di insussistenza delle condizioni di incompatibilità previste dall’ordinamento. </w:t>
      </w:r>
    </w:p>
    <w:p w14:paraId="764E1FF7" w14:textId="59314D08" w:rsidR="00434A4B" w:rsidRDefault="009924DF" w:rsidP="009924DF">
      <w:r>
        <w:t>PROGRAMMAZIONE</w:t>
      </w:r>
      <w:r w:rsidRPr="009924DF">
        <w:t xml:space="preserve">: la misura </w:t>
      </w:r>
      <w:r>
        <w:t>è già attuata</w:t>
      </w:r>
      <w:r w:rsidRPr="009924DF">
        <w:t>.</w:t>
      </w:r>
    </w:p>
    <w:p w14:paraId="5F6D7AF8" w14:textId="77777777" w:rsidR="009924DF" w:rsidRPr="00860921" w:rsidRDefault="009924DF" w:rsidP="009924DF">
      <w:pPr>
        <w:rPr>
          <w:rFonts w:cs="Arial"/>
          <w:color w:val="000000" w:themeColor="text1"/>
        </w:rPr>
      </w:pPr>
    </w:p>
    <w:p w14:paraId="76D2ACA2" w14:textId="160A443B" w:rsidR="005469EB" w:rsidRPr="00860921" w:rsidRDefault="005469EB" w:rsidP="000C01AE">
      <w:pPr>
        <w:pStyle w:val="Titolo3"/>
      </w:pPr>
      <w:bookmarkStart w:id="82" w:name="_Toc97543248"/>
      <w:bookmarkStart w:id="83" w:name="_Toc150499208"/>
      <w:r w:rsidRPr="00860921">
        <w:t>Incarichi extraistituzionali</w:t>
      </w:r>
      <w:bookmarkEnd w:id="82"/>
      <w:bookmarkEnd w:id="83"/>
      <w:r w:rsidRPr="00860921">
        <w:t xml:space="preserve"> </w:t>
      </w:r>
    </w:p>
    <w:p w14:paraId="57B2EDDF" w14:textId="77777777" w:rsidR="000C01AE" w:rsidRDefault="000C01AE" w:rsidP="000C01AE">
      <w:r>
        <w:t xml:space="preserve">Gli incarichi extraistituzionali sono autorizzati seguendo quanto specificato dall’art. 53 </w:t>
      </w:r>
      <w:proofErr w:type="spellStart"/>
      <w:r>
        <w:t>D.Lgs.</w:t>
      </w:r>
      <w:proofErr w:type="spellEnd"/>
      <w:r>
        <w:t xml:space="preserve"> 165/2001.</w:t>
      </w:r>
    </w:p>
    <w:p w14:paraId="58446A16" w14:textId="77777777" w:rsidR="000C01AE" w:rsidRPr="000C01AE" w:rsidRDefault="000C01AE" w:rsidP="000C01AE">
      <w:r w:rsidRPr="000C01AE">
        <w:t>MISURA PROPOSTA: L’ente applica con puntualità la suddetta procedura.</w:t>
      </w:r>
    </w:p>
    <w:p w14:paraId="3E898522" w14:textId="76988181" w:rsidR="000C01AE" w:rsidRDefault="000C01AE" w:rsidP="000C01AE">
      <w:r>
        <w:t>PROGRAMMAZIONE</w:t>
      </w:r>
      <w:r w:rsidRPr="009924DF">
        <w:t xml:space="preserve">: la misura </w:t>
      </w:r>
      <w:r>
        <w:t>è già attuata</w:t>
      </w:r>
      <w:r w:rsidRPr="009924DF">
        <w:t>.</w:t>
      </w:r>
    </w:p>
    <w:p w14:paraId="01BC42BB" w14:textId="3CC54297" w:rsidR="000C01AE" w:rsidRPr="00350F33" w:rsidRDefault="000C01AE" w:rsidP="000C01AE">
      <w:pPr>
        <w:rPr>
          <w:rFonts w:ascii="Times New Roman" w:hAnsi="Times New Roman" w:cs="Times New Roman"/>
          <w:bCs/>
        </w:rPr>
      </w:pPr>
    </w:p>
    <w:p w14:paraId="3B565E9F" w14:textId="37BA0492" w:rsidR="00434A4B" w:rsidRPr="00860921" w:rsidRDefault="00434A4B" w:rsidP="000C01AE">
      <w:pPr>
        <w:pStyle w:val="Titolo3"/>
      </w:pPr>
      <w:bookmarkStart w:id="84" w:name="_Toc97543250"/>
      <w:bookmarkStart w:id="85" w:name="_Toc150499210"/>
      <w:r w:rsidRPr="00860921">
        <w:t>La formazione in tema di anticorruzione</w:t>
      </w:r>
      <w:bookmarkEnd w:id="74"/>
      <w:bookmarkEnd w:id="84"/>
      <w:bookmarkEnd w:id="85"/>
    </w:p>
    <w:p w14:paraId="79259C0C" w14:textId="77777777" w:rsidR="000C01AE" w:rsidRPr="000C01AE" w:rsidRDefault="000C01AE" w:rsidP="000C01AE">
      <w:pPr>
        <w:rPr>
          <w:rFonts w:cs="Arial"/>
        </w:rPr>
      </w:pPr>
      <w:r w:rsidRPr="000C01AE">
        <w:rPr>
          <w:rFonts w:cs="Arial"/>
        </w:rPr>
        <w:t xml:space="preserve">Il comma 8, art. 1, della legge 190/2012, stabilisce che il RPCT definisca procedure appropriate per selezionare e formare i dipendenti destinati ad operare in settori particolarmente esposti alla corruzione. </w:t>
      </w:r>
    </w:p>
    <w:p w14:paraId="32E064A2" w14:textId="77777777" w:rsidR="000C01AE" w:rsidRPr="000C01AE" w:rsidRDefault="000C01AE" w:rsidP="000C01AE">
      <w:pPr>
        <w:rPr>
          <w:rFonts w:cs="Arial"/>
        </w:rPr>
      </w:pPr>
      <w:r w:rsidRPr="000C01AE">
        <w:rPr>
          <w:rFonts w:cs="Arial"/>
        </w:rPr>
        <w:t>La formazione può essere strutturata su due livelli:</w:t>
      </w:r>
    </w:p>
    <w:p w14:paraId="65816075" w14:textId="77777777" w:rsidR="000C01AE" w:rsidRPr="000C01AE" w:rsidRDefault="000C01AE" w:rsidP="000C01AE">
      <w:pPr>
        <w:pStyle w:val="Paragrafoelenco"/>
        <w:numPr>
          <w:ilvl w:val="0"/>
          <w:numId w:val="61"/>
        </w:numPr>
        <w:rPr>
          <w:rFonts w:cs="Arial"/>
        </w:rPr>
      </w:pPr>
      <w:r w:rsidRPr="000C01AE">
        <w:rPr>
          <w:rFonts w:cs="Arial"/>
        </w:rPr>
        <w:t>livello generale: rivolto a tutti i dipendenti e mirato all’aggiornamento delle competenze/comportamenti in materia di etica e della legalità;</w:t>
      </w:r>
    </w:p>
    <w:p w14:paraId="2F5E5EE4" w14:textId="77777777" w:rsidR="000C01AE" w:rsidRPr="000C01AE" w:rsidRDefault="000C01AE" w:rsidP="000C01AE">
      <w:pPr>
        <w:pStyle w:val="Paragrafoelenco"/>
        <w:numPr>
          <w:ilvl w:val="0"/>
          <w:numId w:val="61"/>
        </w:numPr>
        <w:rPr>
          <w:rFonts w:cs="Arial"/>
        </w:rPr>
      </w:pPr>
      <w:r w:rsidRPr="000C01AE">
        <w:rPr>
          <w:rFonts w:cs="Arial"/>
        </w:rPr>
        <w:t xml:space="preserve">livello specifico: dedicato al RPCT, ai referenti, ai componenti degli organismi di controllo, ai dirigenti e funzionari addetti alle aree a maggior rischio corruttivo, mirato a valorizzare le politiche, i programmi e gli strumenti utilizzati per la prevenzione e ad approfondire tematiche settoriali, in relazione al ruolo svolto da ciascun soggetto nell’amministrazione.  </w:t>
      </w:r>
    </w:p>
    <w:p w14:paraId="1DF4A493" w14:textId="69FB0BD2" w:rsidR="000C01AE" w:rsidRPr="000C01AE" w:rsidRDefault="000C01AE" w:rsidP="000C01AE">
      <w:pPr>
        <w:rPr>
          <w:rFonts w:cs="Arial"/>
        </w:rPr>
      </w:pPr>
      <w:r w:rsidRPr="000C01AE">
        <w:rPr>
          <w:rFonts w:cs="Arial"/>
        </w:rPr>
        <w:t>MISURA PROPOSTA:</w:t>
      </w:r>
      <w:r w:rsidR="00C21CC4">
        <w:rPr>
          <w:rFonts w:cs="Arial"/>
        </w:rPr>
        <w:t xml:space="preserve"> </w:t>
      </w:r>
      <w:r w:rsidRPr="000C01AE">
        <w:rPr>
          <w:rFonts w:cs="Arial"/>
        </w:rPr>
        <w:t>Come indicato nella sezione 3.3 “Piano Triennale Fabbisogni di personale”, è prevista idonea formazione anticorruzione alla quale dovranno partecipare tutti i dipendenti.</w:t>
      </w:r>
      <w:r>
        <w:rPr>
          <w:rFonts w:cs="Arial"/>
        </w:rPr>
        <w:t xml:space="preserve"> Il monitoraggio è costante da parte del RPCT.</w:t>
      </w:r>
    </w:p>
    <w:p w14:paraId="4D5A6834" w14:textId="7320B2E1" w:rsidR="000C01AE" w:rsidRPr="000C01AE" w:rsidRDefault="000C01AE" w:rsidP="000C01AE">
      <w:pPr>
        <w:rPr>
          <w:rFonts w:cs="Arial"/>
        </w:rPr>
      </w:pPr>
      <w:r>
        <w:rPr>
          <w:rFonts w:cs="Arial"/>
        </w:rPr>
        <w:t>PROGRAMMAZIONE</w:t>
      </w:r>
      <w:r w:rsidRPr="000C01AE">
        <w:rPr>
          <w:rFonts w:cs="Arial"/>
        </w:rPr>
        <w:t>: una volta l’anno per ciascun anno</w:t>
      </w:r>
      <w:r>
        <w:rPr>
          <w:rFonts w:cs="Arial"/>
        </w:rPr>
        <w:t>, già attuata</w:t>
      </w:r>
      <w:r w:rsidRPr="000C01AE">
        <w:rPr>
          <w:rFonts w:cs="Arial"/>
        </w:rPr>
        <w:t>.</w:t>
      </w:r>
    </w:p>
    <w:p w14:paraId="7FECD4BB" w14:textId="77777777" w:rsidR="00434A4B" w:rsidRPr="00860921" w:rsidRDefault="00434A4B" w:rsidP="00860921">
      <w:pPr>
        <w:pStyle w:val="TitoloB"/>
        <w:spacing w:after="0" w:line="240" w:lineRule="auto"/>
        <w:rPr>
          <w:color w:val="0F243E" w:themeColor="text2" w:themeShade="80"/>
          <w:sz w:val="24"/>
          <w:szCs w:val="24"/>
        </w:rPr>
      </w:pPr>
    </w:p>
    <w:p w14:paraId="00C2D0F8" w14:textId="2905D09C" w:rsidR="00434A4B" w:rsidRPr="00860921" w:rsidRDefault="00434A4B" w:rsidP="000C01AE">
      <w:pPr>
        <w:pStyle w:val="Titolo3"/>
      </w:pPr>
      <w:bookmarkStart w:id="86" w:name="_Toc87523819"/>
      <w:bookmarkStart w:id="87" w:name="_Toc97543251"/>
      <w:bookmarkStart w:id="88" w:name="_Toc150499211"/>
      <w:r w:rsidRPr="00860921">
        <w:t>La rotazione del personale</w:t>
      </w:r>
      <w:bookmarkEnd w:id="86"/>
      <w:bookmarkEnd w:id="87"/>
      <w:bookmarkEnd w:id="88"/>
      <w:r w:rsidRPr="00860921">
        <w:t xml:space="preserve">  </w:t>
      </w:r>
    </w:p>
    <w:p w14:paraId="004AA25A" w14:textId="77777777" w:rsidR="000C01AE" w:rsidRPr="000C01AE" w:rsidRDefault="000C01AE" w:rsidP="000C01AE">
      <w:pPr>
        <w:pStyle w:val="Corpotesto"/>
        <w:jc w:val="both"/>
        <w:rPr>
          <w:bCs/>
          <w:szCs w:val="22"/>
        </w:rPr>
      </w:pPr>
      <w:r w:rsidRPr="000C01AE">
        <w:rPr>
          <w:bCs/>
          <w:szCs w:val="22"/>
        </w:rPr>
        <w:t xml:space="preserve">La rotazione del personale può essere classificata in ordinaria e straordinaria. </w:t>
      </w:r>
    </w:p>
    <w:p w14:paraId="4A42F9D6" w14:textId="77777777" w:rsidR="000C01AE" w:rsidRPr="000C01AE" w:rsidRDefault="000C01AE" w:rsidP="000C01AE">
      <w:pPr>
        <w:rPr>
          <w:rFonts w:cs="Arial"/>
        </w:rPr>
      </w:pPr>
      <w:r w:rsidRPr="000C01AE">
        <w:rPr>
          <w:rFonts w:cs="Arial"/>
          <w:b/>
          <w:bCs/>
          <w:u w:val="single"/>
        </w:rPr>
        <w:t>Rotazione ordinaria</w:t>
      </w:r>
      <w:r w:rsidRPr="000C01AE">
        <w:rPr>
          <w:rFonts w:cs="Arial"/>
        </w:rPr>
        <w:t xml:space="preserve">: la rotazione c.d. “ordinaria” del personale addetto alle aree a più elevato rischio di corruzione rappresenta una misura di importanza cruciale tra gli strumenti di prevenzione </w:t>
      </w:r>
      <w:r w:rsidRPr="000C01AE">
        <w:rPr>
          <w:rFonts w:cs="Arial"/>
        </w:rPr>
        <w:lastRenderedPageBreak/>
        <w:t xml:space="preserve">della corruzione, sebbene debba essere contemperata con il buon andamento, l’efficienza e la continuità dell’azione amministrativa. </w:t>
      </w:r>
    </w:p>
    <w:p w14:paraId="067767DB" w14:textId="77777777" w:rsidR="000C01AE" w:rsidRPr="000C01AE" w:rsidRDefault="000C01AE" w:rsidP="000C01AE">
      <w:pPr>
        <w:rPr>
          <w:rFonts w:cs="Arial"/>
        </w:rPr>
      </w:pPr>
      <w:r w:rsidRPr="000C01AE">
        <w:rPr>
          <w:rFonts w:cs="Arial"/>
        </w:rPr>
        <w:t>L’art. 1, comma 10 lett. b), della legge 190/2012 impone al RPCT di provvedere alla verifica, d'intesa con il dirigente competente, dell'effettiva rotazione degli incarichi negli uffici preposti allo svolgimento delle attività nel cui ambito è più elevato il rischio che siano commessi reati di corruzione.</w:t>
      </w:r>
    </w:p>
    <w:p w14:paraId="457F5530" w14:textId="65747BDF" w:rsidR="000C01AE" w:rsidRPr="000C01AE" w:rsidRDefault="000C01AE" w:rsidP="000C01AE">
      <w:pPr>
        <w:pStyle w:val="Corpotesto"/>
        <w:jc w:val="both"/>
        <w:rPr>
          <w:bCs/>
          <w:szCs w:val="22"/>
        </w:rPr>
      </w:pPr>
      <w:r w:rsidRPr="000C01AE">
        <w:rPr>
          <w:bCs/>
          <w:szCs w:val="22"/>
        </w:rPr>
        <w:t>MISURA PROPOSTA:</w:t>
      </w:r>
      <w:r>
        <w:rPr>
          <w:bCs/>
          <w:szCs w:val="22"/>
        </w:rPr>
        <w:t xml:space="preserve"> </w:t>
      </w:r>
      <w:r w:rsidRPr="000C01AE">
        <w:rPr>
          <w:bCs/>
          <w:szCs w:val="22"/>
        </w:rPr>
        <w:t xml:space="preserve">La dotazione organica dell’ente è assai limitata e non consente, di fatto, l’applicazione concreta del criterio della rotazione. </w:t>
      </w:r>
    </w:p>
    <w:p w14:paraId="40F3DD11" w14:textId="77777777" w:rsidR="000C01AE" w:rsidRPr="000C01AE" w:rsidRDefault="000C01AE" w:rsidP="000C01AE">
      <w:pPr>
        <w:pStyle w:val="Corpotesto"/>
        <w:jc w:val="both"/>
        <w:rPr>
          <w:bCs/>
          <w:szCs w:val="22"/>
        </w:rPr>
      </w:pPr>
      <w:r w:rsidRPr="000C01AE">
        <w:rPr>
          <w:bCs/>
          <w:szCs w:val="22"/>
        </w:rPr>
        <w:t xml:space="preserve">Non esistono figure professionali perfettamente fungibili. </w:t>
      </w:r>
    </w:p>
    <w:p w14:paraId="6674ABB7" w14:textId="77777777" w:rsidR="000C01AE" w:rsidRPr="000C01AE" w:rsidRDefault="000C01AE" w:rsidP="000C01AE">
      <w:pPr>
        <w:rPr>
          <w:rFonts w:cs="Arial"/>
        </w:rPr>
      </w:pPr>
      <w:r w:rsidRPr="000C01AE">
        <w:rPr>
          <w:rFonts w:cs="Arial"/>
        </w:rPr>
        <w:t xml:space="preserve">La legge di stabilità per il 2016 (legge 208/2015), al comma 221, prevede quanto segue: “(…) </w:t>
      </w:r>
      <w:r w:rsidRPr="000C01AE">
        <w:rPr>
          <w:rFonts w:cs="Arial"/>
          <w:i/>
        </w:rPr>
        <w:t>non trovano applicazione le disposizioni adottate ai sensi dell'art. 1 comma 5 della legge 190/2012, ove la dimensione dell'ente risulti incompatibile con la rotazione dell'incarico dirigenziale</w:t>
      </w:r>
      <w:r w:rsidRPr="000C01AE">
        <w:rPr>
          <w:rFonts w:cs="Arial"/>
        </w:rPr>
        <w:t xml:space="preserve">”. </w:t>
      </w:r>
    </w:p>
    <w:p w14:paraId="24EC83D1" w14:textId="77777777" w:rsidR="000C01AE" w:rsidRPr="000C01AE" w:rsidRDefault="000C01AE" w:rsidP="000C01AE">
      <w:pPr>
        <w:rPr>
          <w:rFonts w:cs="Arial"/>
        </w:rPr>
      </w:pPr>
      <w:r w:rsidRPr="000C01AE">
        <w:rPr>
          <w:rFonts w:cs="Arial"/>
        </w:rPr>
        <w:t xml:space="preserve">In sostanza, la legge consente di evitare la rotazione dei dirigenti/funzionari negli enti dove ciò non sia possibile per </w:t>
      </w:r>
      <w:r w:rsidRPr="000C01AE">
        <w:rPr>
          <w:rFonts w:cs="Arial"/>
          <w:iCs/>
        </w:rPr>
        <w:t>sostanziale infungibilità delle</w:t>
      </w:r>
      <w:r w:rsidRPr="000C01AE">
        <w:rPr>
          <w:rFonts w:cs="Arial"/>
        </w:rPr>
        <w:t xml:space="preserve"> figure presenti in dotazione organica. </w:t>
      </w:r>
    </w:p>
    <w:p w14:paraId="5EAA643B" w14:textId="77777777" w:rsidR="00434A4B" w:rsidRPr="00860921" w:rsidRDefault="00434A4B" w:rsidP="000C01AE">
      <w:r w:rsidRPr="00860921">
        <w:rPr>
          <w:b/>
          <w:u w:val="single"/>
        </w:rPr>
        <w:t>Rotazione straordinaria</w:t>
      </w:r>
      <w:r w:rsidRPr="00860921">
        <w:rPr>
          <w:b/>
        </w:rPr>
        <w:t xml:space="preserve">: </w:t>
      </w:r>
      <w:r w:rsidRPr="00860921">
        <w:t xml:space="preserve">è prevista dall’art. 16 del d.lgs. 165/2001 e </w:t>
      </w:r>
      <w:proofErr w:type="spellStart"/>
      <w:r w:rsidRPr="00860921">
        <w:t>smi</w:t>
      </w:r>
      <w:proofErr w:type="spellEnd"/>
      <w:r w:rsidRPr="00860921">
        <w:t xml:space="preserve"> per i dipendenti nei confronti dei quali siano avviati procedimenti penali o disciplinari per condotte di natura corruttiva. </w:t>
      </w:r>
    </w:p>
    <w:p w14:paraId="67454FCE" w14:textId="05BDB4D6" w:rsidR="00434A4B" w:rsidRPr="00860921" w:rsidRDefault="00434A4B" w:rsidP="000C01AE">
      <w:r w:rsidRPr="00860921">
        <w:t xml:space="preserve">L’ANAC ha formulato le “Linee guida in materia di applicazione della misura della rotazione straordinaria” (deliberazione n. 215 del 26/3/2019). </w:t>
      </w:r>
    </w:p>
    <w:p w14:paraId="2BB17F84" w14:textId="4A754620" w:rsidR="00434A4B" w:rsidRPr="000C01AE" w:rsidRDefault="00CF3B36" w:rsidP="000C01AE">
      <w:r w:rsidRPr="000C01AE">
        <w:t xml:space="preserve">E’ </w:t>
      </w:r>
      <w:r w:rsidR="00434A4B" w:rsidRPr="000C01AE">
        <w:t xml:space="preserve">obbligatoria la valutazione della condotta del dipendente, nel caso dei delitti di concussione, corruzione per l’esercizio della funzione, per atti contrari ai doveri d’ufficio e in atti giudiziari, istigazione alla corruzione, induzione indebita a dare o promettere utilità, traffico di influenze illecite, turbata libertà degli incanti e della scelta del contraente (per completezza, Codice penale, artt. 317, 318, 319, 319-bis, 319-ter, 319-quater, 320, 321, 322, 322-bis, 346-bis, 353 e 353- bis).  </w:t>
      </w:r>
    </w:p>
    <w:p w14:paraId="4CD8A4B1" w14:textId="7478E878" w:rsidR="00F1631D" w:rsidRPr="000C01AE" w:rsidRDefault="00F1631D" w:rsidP="000C01AE">
      <w:r w:rsidRPr="000C01AE">
        <w:t>Nei casi di obbligatorietà, non appena sia venuta a conoscenza del procedimento penale, l’amministrazione adotta il provvedimento (deliberazione 215/2019, pag. 18).</w:t>
      </w:r>
    </w:p>
    <w:p w14:paraId="5375C757" w14:textId="54DE615B" w:rsidR="00434A4B" w:rsidRPr="00860921" w:rsidRDefault="00434A4B" w:rsidP="000C01AE">
      <w:r w:rsidRPr="000C01AE">
        <w:t xml:space="preserve">L’adozione del provvedimento è solo facoltativa nel caso di procedimenti penali avviati per tutti gli altri reati contro la pubblica amministrazione, di cui al Capo I, del Titolo II, del Libro secondo del Codice </w:t>
      </w:r>
      <w:r w:rsidR="00F1631D" w:rsidRPr="000C01AE">
        <w:t>p</w:t>
      </w:r>
      <w:r w:rsidRPr="000C01AE">
        <w:t>enale, rilevanti ai fini delle inconferibilità ai sensi dell’art. 3 del d.lgs.  39/2013, dell’art. 35-</w:t>
      </w:r>
      <w:r w:rsidRPr="00860921">
        <w:t>bis del d.lgs. 165/2001 e del d.lgs. 235/2012.</w:t>
      </w:r>
    </w:p>
    <w:p w14:paraId="4196E4D8" w14:textId="23618D55" w:rsidR="000C01AE" w:rsidRPr="00162D54" w:rsidRDefault="000C01AE" w:rsidP="000C01AE">
      <w:pPr>
        <w:rPr>
          <w:rFonts w:cs="Times New Roman"/>
        </w:rPr>
      </w:pPr>
      <w:r>
        <w:rPr>
          <w:rFonts w:cs="Times New Roman"/>
        </w:rPr>
        <w:t>MISURA PROPOSTA: A necessità, s</w:t>
      </w:r>
      <w:r w:rsidRPr="00162D54">
        <w:rPr>
          <w:rFonts w:cs="Times New Roman"/>
        </w:rPr>
        <w:t>i prevede l’applicazione</w:t>
      </w:r>
      <w:r>
        <w:rPr>
          <w:rFonts w:cs="Times New Roman"/>
        </w:rPr>
        <w:t xml:space="preserve"> </w:t>
      </w:r>
      <w:r w:rsidRPr="00162D54">
        <w:rPr>
          <w:rFonts w:cs="Times New Roman"/>
        </w:rPr>
        <w:t xml:space="preserve">delle disposizioni previste dalle “Linee guida in materia di applicazione della misura della rotazione straordinaria” (deliberazione ANAC n. 215 del 26/3/2019). </w:t>
      </w:r>
    </w:p>
    <w:p w14:paraId="54D60783" w14:textId="77777777" w:rsidR="000C01AE" w:rsidRPr="00162D54" w:rsidRDefault="000C01AE" w:rsidP="000C01AE">
      <w:pPr>
        <w:rPr>
          <w:rFonts w:cs="Times New Roman"/>
        </w:rPr>
      </w:pPr>
      <w:r w:rsidRPr="00162D54">
        <w:rPr>
          <w:rFonts w:cs="Times New Roman"/>
        </w:rPr>
        <w:t xml:space="preserve">Si precisa che, negli </w:t>
      </w:r>
      <w:r>
        <w:rPr>
          <w:rFonts w:cs="Times New Roman"/>
        </w:rPr>
        <w:t>anni</w:t>
      </w:r>
      <w:r w:rsidRPr="00162D54">
        <w:rPr>
          <w:rFonts w:cs="Times New Roman"/>
        </w:rPr>
        <w:t xml:space="preserve"> precedenti, non è mai stato necessario ricorrere ad alcuna misura di rotazione straordinaria.</w:t>
      </w:r>
    </w:p>
    <w:p w14:paraId="31EB0CA6" w14:textId="05490046" w:rsidR="000C01AE" w:rsidRDefault="000C01AE" w:rsidP="000C01AE">
      <w:pPr>
        <w:rPr>
          <w:rFonts w:cs="Times New Roman"/>
        </w:rPr>
      </w:pPr>
      <w:r>
        <w:rPr>
          <w:rFonts w:cs="Times New Roman"/>
        </w:rPr>
        <w:t>PROGRAMMAZIONE</w:t>
      </w:r>
      <w:r w:rsidRPr="00162D54">
        <w:rPr>
          <w:rFonts w:cs="Times New Roman"/>
        </w:rPr>
        <w:t>: immediat</w:t>
      </w:r>
      <w:r>
        <w:rPr>
          <w:rFonts w:cs="Times New Roman"/>
        </w:rPr>
        <w:t>a.</w:t>
      </w:r>
    </w:p>
    <w:p w14:paraId="72B46FAD" w14:textId="0F2D27DA" w:rsidR="007B31FF" w:rsidRPr="00860921" w:rsidRDefault="007B31FF" w:rsidP="00860921">
      <w:pPr>
        <w:rPr>
          <w:rFonts w:cs="Arial"/>
          <w:bCs/>
          <w:color w:val="EE0000"/>
          <w:sz w:val="24"/>
          <w:szCs w:val="24"/>
        </w:rPr>
      </w:pPr>
    </w:p>
    <w:p w14:paraId="6753E21B" w14:textId="77777777" w:rsidR="00CF3B36" w:rsidRPr="00860921" w:rsidRDefault="00CF3B36" w:rsidP="000C01AE">
      <w:pPr>
        <w:pStyle w:val="Titolo3"/>
      </w:pPr>
      <w:bookmarkStart w:id="89" w:name="_Toc87523824"/>
      <w:bookmarkStart w:id="90" w:name="_Toc97543252"/>
      <w:bookmarkStart w:id="91" w:name="_Toc150499212"/>
      <w:r w:rsidRPr="00860921">
        <w:t>Misure per la tutela del dipendente che segnali illeciti (whistleblower)</w:t>
      </w:r>
      <w:bookmarkEnd w:id="89"/>
      <w:bookmarkEnd w:id="90"/>
      <w:bookmarkEnd w:id="91"/>
    </w:p>
    <w:p w14:paraId="398CDE35" w14:textId="77777777" w:rsidR="000C01AE" w:rsidRPr="000C01AE" w:rsidRDefault="000C01AE" w:rsidP="000C01AE">
      <w:pPr>
        <w:rPr>
          <w:rFonts w:cs="Arial"/>
        </w:rPr>
      </w:pPr>
      <w:r w:rsidRPr="000C01AE">
        <w:rPr>
          <w:rFonts w:cs="Arial"/>
        </w:rPr>
        <w:t xml:space="preserve">Il d.lgs. 24/2023, recependo la direttiva dell’Unione Europea n. 1937/2019, ha riscritto la tutela del </w:t>
      </w:r>
      <w:r w:rsidRPr="000C01AE">
        <w:rPr>
          <w:rFonts w:cs="Arial"/>
          <w:i/>
          <w:iCs/>
        </w:rPr>
        <w:t>whistleblower</w:t>
      </w:r>
      <w:r w:rsidRPr="000C01AE">
        <w:rPr>
          <w:rFonts w:cs="Arial"/>
        </w:rPr>
        <w:t xml:space="preserve"> all’interno del panorama normativo italiano. Esso raccoglie in un unico testo normativo l’intera disciplina dei canali di segnalazione e delle tutele riconosciute ai segnalanti sia del settore pubblico che privato. Ne deriva una disciplina organica e uniforme finalizzata a una maggiore tutela del </w:t>
      </w:r>
      <w:r w:rsidRPr="000C01AE">
        <w:rPr>
          <w:rFonts w:cs="Arial"/>
          <w:i/>
          <w:iCs/>
        </w:rPr>
        <w:t>whistleblower</w:t>
      </w:r>
      <w:r w:rsidRPr="000C01AE">
        <w:rPr>
          <w:rFonts w:cs="Arial"/>
        </w:rPr>
        <w:t>, in tal modo, quest’ultimo è maggiormente incentivato all’effettuazione di segnalazioni di illeciti nei limiti e con le modalità indicate nel decreto.</w:t>
      </w:r>
    </w:p>
    <w:p w14:paraId="6C355B23" w14:textId="77777777" w:rsidR="000C01AE" w:rsidRPr="000C01AE" w:rsidRDefault="000C01AE" w:rsidP="000C01AE">
      <w:pPr>
        <w:rPr>
          <w:rFonts w:cs="Arial"/>
        </w:rPr>
      </w:pPr>
      <w:r w:rsidRPr="000C01AE">
        <w:rPr>
          <w:rFonts w:cs="Arial"/>
        </w:rPr>
        <w:t>Il d.lgs. 24/2023 è entrato in vigore il 30 marzo 2023 e le disposizioni avranno effetto a partire dal 15 luglio 2023.</w:t>
      </w:r>
    </w:p>
    <w:p w14:paraId="55F63D48" w14:textId="77777777" w:rsidR="000C01AE" w:rsidRPr="000C01AE" w:rsidRDefault="000C01AE" w:rsidP="000C01AE">
      <w:pPr>
        <w:rPr>
          <w:rFonts w:cs="Arial"/>
        </w:rPr>
      </w:pPr>
      <w:r w:rsidRPr="000C01AE">
        <w:rPr>
          <w:rFonts w:cs="Arial"/>
        </w:rPr>
        <w:t xml:space="preserve">Il </w:t>
      </w:r>
      <w:r w:rsidRPr="000C01AE">
        <w:rPr>
          <w:rFonts w:cs="Arial"/>
          <w:i/>
          <w:iCs/>
        </w:rPr>
        <w:t xml:space="preserve">whistleblower </w:t>
      </w:r>
      <w:r w:rsidRPr="000C01AE">
        <w:rPr>
          <w:rFonts w:cs="Arial"/>
        </w:rPr>
        <w:t xml:space="preserve">è la persona che segnala, divulga ovvero denuncia all’Autorità giudiziaria o contabile, violazioni di disposizioni normative nazionali o dell’Unione europea che ledono l’interesse pubblico l’integrità dell’amministrazione pubblica o dell’ente privato, di cui è venuta a conoscenza in un contesto lavorativo pubblico o privato. </w:t>
      </w:r>
    </w:p>
    <w:p w14:paraId="6299DED4" w14:textId="77777777" w:rsidR="000C01AE" w:rsidRPr="000C01AE" w:rsidRDefault="000C01AE" w:rsidP="000C01AE">
      <w:pPr>
        <w:rPr>
          <w:rFonts w:cs="Arial"/>
          <w:bCs/>
        </w:rPr>
      </w:pPr>
      <w:r w:rsidRPr="000C01AE">
        <w:rPr>
          <w:rFonts w:cs="Arial"/>
        </w:rPr>
        <w:t>La segnalazione può avere ad oggetto comportamenti, atti od omissioni che ledono l’interesse pubblico o l’integrità dell’amministrazione pubblica o dell’ente privato e che consistono in:</w:t>
      </w:r>
    </w:p>
    <w:p w14:paraId="44064587" w14:textId="77777777" w:rsidR="000C01AE" w:rsidRPr="000C01AE" w:rsidRDefault="000C01AE" w:rsidP="000C01AE">
      <w:pPr>
        <w:pStyle w:val="TitoloB"/>
        <w:keepNext/>
        <w:widowControl w:val="0"/>
        <w:numPr>
          <w:ilvl w:val="0"/>
          <w:numId w:val="62"/>
        </w:numPr>
        <w:spacing w:after="0" w:line="240" w:lineRule="auto"/>
        <w:ind w:right="-1"/>
        <w:outlineLvl w:val="1"/>
        <w:rPr>
          <w:b w:val="0"/>
          <w:bCs w:val="0"/>
        </w:rPr>
      </w:pPr>
      <w:r w:rsidRPr="000C01AE">
        <w:rPr>
          <w:b w:val="0"/>
          <w:bCs w:val="0"/>
        </w:rPr>
        <w:t>illeciti amministrativi, contabili, civili o penali;</w:t>
      </w:r>
    </w:p>
    <w:p w14:paraId="3FA63611" w14:textId="77777777" w:rsidR="000C01AE" w:rsidRPr="000C01AE" w:rsidRDefault="000C01AE" w:rsidP="000C01AE">
      <w:pPr>
        <w:pStyle w:val="TitoloB"/>
        <w:keepNext/>
        <w:widowControl w:val="0"/>
        <w:numPr>
          <w:ilvl w:val="0"/>
          <w:numId w:val="62"/>
        </w:numPr>
        <w:spacing w:after="0" w:line="240" w:lineRule="auto"/>
        <w:ind w:right="-1"/>
        <w:rPr>
          <w:b w:val="0"/>
          <w:bCs w:val="0"/>
        </w:rPr>
      </w:pPr>
      <w:r w:rsidRPr="000C01AE">
        <w:rPr>
          <w:b w:val="0"/>
          <w:bCs w:val="0"/>
        </w:rPr>
        <w:t>condotte illecite rilevanti ai sensi del decreto legislativo 8 giugno 2001, n. 231 o violazioni dei modelli di organizzazione e gestione ivi previsti;</w:t>
      </w:r>
    </w:p>
    <w:p w14:paraId="667504D6" w14:textId="77777777" w:rsidR="000C01AE" w:rsidRPr="000C01AE" w:rsidRDefault="000C01AE" w:rsidP="000C01AE">
      <w:pPr>
        <w:pStyle w:val="TitoloB"/>
        <w:keepNext/>
        <w:widowControl w:val="0"/>
        <w:numPr>
          <w:ilvl w:val="0"/>
          <w:numId w:val="62"/>
        </w:numPr>
        <w:spacing w:after="0" w:line="240" w:lineRule="auto"/>
        <w:ind w:right="-1"/>
        <w:rPr>
          <w:b w:val="0"/>
          <w:bCs w:val="0"/>
        </w:rPr>
      </w:pPr>
      <w:r w:rsidRPr="000C01AE">
        <w:rPr>
          <w:b w:val="0"/>
          <w:bCs w:val="0"/>
        </w:rPr>
        <w:t xml:space="preserve">illeciti che rientrano nell’ambito di applicazione degli atti dell’Unione Europea relativi ai seguenti settori: appalti pubblici, servizi, prodotti e mercati finanziari e prevenzione del </w:t>
      </w:r>
      <w:r w:rsidRPr="000C01AE">
        <w:rPr>
          <w:b w:val="0"/>
          <w:bCs w:val="0"/>
        </w:rPr>
        <w:lastRenderedPageBreak/>
        <w:t>riciclaggio e del finanziamento del terrorismo, sicurezza e conformità dei prodotti, sicurezza dei trasporti, tutela dell’ambiente, radio protezione e sicurezza nucleare, sicurezza degli alimenti dei mangimi e salute e benessere degli animali, salute pubblica, protezione dei consumatori, tutela della vita privata e protezione dei dati personali e sicurezza delle reti e dei sistemi informativi;</w:t>
      </w:r>
    </w:p>
    <w:p w14:paraId="32477DB4" w14:textId="77777777" w:rsidR="000C01AE" w:rsidRPr="000C01AE" w:rsidRDefault="000C01AE" w:rsidP="000C01AE">
      <w:pPr>
        <w:pStyle w:val="TitoloB"/>
        <w:keepNext/>
        <w:widowControl w:val="0"/>
        <w:numPr>
          <w:ilvl w:val="0"/>
          <w:numId w:val="62"/>
        </w:numPr>
        <w:spacing w:after="0" w:line="240" w:lineRule="auto"/>
        <w:ind w:right="-1"/>
        <w:rPr>
          <w:b w:val="0"/>
          <w:bCs w:val="0"/>
        </w:rPr>
      </w:pPr>
      <w:r w:rsidRPr="000C01AE">
        <w:rPr>
          <w:b w:val="0"/>
          <w:bCs w:val="0"/>
        </w:rPr>
        <w:t>atti od omissioni che ledono gli interessi finanziari dell’Unione;</w:t>
      </w:r>
    </w:p>
    <w:p w14:paraId="7BAE34CF" w14:textId="77777777" w:rsidR="000C01AE" w:rsidRPr="000C01AE" w:rsidRDefault="000C01AE" w:rsidP="000C01AE">
      <w:pPr>
        <w:pStyle w:val="TitoloB"/>
        <w:keepNext/>
        <w:widowControl w:val="0"/>
        <w:numPr>
          <w:ilvl w:val="0"/>
          <w:numId w:val="62"/>
        </w:numPr>
        <w:spacing w:after="0" w:line="240" w:lineRule="auto"/>
        <w:ind w:right="-1"/>
        <w:rPr>
          <w:b w:val="0"/>
          <w:bCs w:val="0"/>
        </w:rPr>
      </w:pPr>
      <w:r w:rsidRPr="000C01AE">
        <w:rPr>
          <w:b w:val="0"/>
          <w:bCs w:val="0"/>
        </w:rPr>
        <w:t>atti od omissioni riguardanti il mercato interno;</w:t>
      </w:r>
    </w:p>
    <w:p w14:paraId="652CE1E8" w14:textId="77777777" w:rsidR="000C01AE" w:rsidRPr="000C01AE" w:rsidRDefault="000C01AE" w:rsidP="000C01AE">
      <w:pPr>
        <w:pStyle w:val="TitoloB"/>
        <w:keepNext/>
        <w:widowControl w:val="0"/>
        <w:numPr>
          <w:ilvl w:val="0"/>
          <w:numId w:val="62"/>
        </w:numPr>
        <w:spacing w:after="0" w:line="240" w:lineRule="auto"/>
        <w:ind w:right="-1"/>
        <w:rPr>
          <w:b w:val="0"/>
          <w:bCs w:val="0"/>
        </w:rPr>
      </w:pPr>
      <w:r w:rsidRPr="000C01AE">
        <w:rPr>
          <w:b w:val="0"/>
          <w:bCs w:val="0"/>
        </w:rPr>
        <w:t>atti o comportamenti che vanificano l’oggetto o la finalità delle disposizioni di cui agli atti dell’Unione.</w:t>
      </w:r>
    </w:p>
    <w:p w14:paraId="05E3731A" w14:textId="77777777" w:rsidR="000C01AE" w:rsidRPr="000C01AE" w:rsidRDefault="000C01AE" w:rsidP="000C01AE">
      <w:pPr>
        <w:rPr>
          <w:rFonts w:cs="Arial"/>
        </w:rPr>
      </w:pPr>
      <w:r w:rsidRPr="000C01AE">
        <w:rPr>
          <w:rFonts w:cs="Arial"/>
        </w:rPr>
        <w:t>La segnalazione è sempre sottratta all'accesso documentale normato dalla legge 241/1990. La denuncia deve ritenersi anche sottratta all’applicazione dell’istituto dell’accesso civico generalizzato, di cui agli articoli 5 e 5-bis del d.lgs. 33/2013. L’accesso, di qualunque tipo esso sia, non può essere riconosciuto poiché l'identità del segnalante non può, e non deve, essere rivelata.</w:t>
      </w:r>
    </w:p>
    <w:p w14:paraId="01C35C8E" w14:textId="77777777" w:rsidR="000C01AE" w:rsidRPr="000C01AE" w:rsidRDefault="000C01AE" w:rsidP="000C01AE">
      <w:pPr>
        <w:rPr>
          <w:rFonts w:cs="Arial"/>
        </w:rPr>
      </w:pPr>
      <w:r w:rsidRPr="000C01AE">
        <w:rPr>
          <w:rFonts w:cs="Arial"/>
        </w:rPr>
        <w:t>È vietata ogni forma di ritorsione anche solo tentata o minacciata.</w:t>
      </w:r>
    </w:p>
    <w:p w14:paraId="3EC2583A" w14:textId="77777777" w:rsidR="000C01AE" w:rsidRPr="000C01AE" w:rsidRDefault="000C01AE" w:rsidP="000C01AE">
      <w:pPr>
        <w:rPr>
          <w:rFonts w:cs="Arial"/>
        </w:rPr>
      </w:pPr>
      <w:r w:rsidRPr="000C01AE">
        <w:rPr>
          <w:rFonts w:cs="Arial"/>
        </w:rPr>
        <w:t>Quando è accertata, anche con sentenza di primo grado, la responsabilità penale della persona segnalante per i reati di diffamazione o di calunnia o comunque per i medesimi reati commessi con la denuncia all’autorità giudiziaria o contabile ovvero la sua responsabilità civile, per lo stesso titolo, nei casi di dolo o colpa grave, le tutele non sono garantite e alla persona segnalante o denunciante è irrogata una sanzione disciplinare.</w:t>
      </w:r>
    </w:p>
    <w:p w14:paraId="40BF7C18" w14:textId="77777777" w:rsidR="000C01AE" w:rsidRPr="000C01AE" w:rsidRDefault="000C01AE" w:rsidP="000C01AE">
      <w:pPr>
        <w:rPr>
          <w:rFonts w:cs="Arial"/>
          <w:b/>
        </w:rPr>
      </w:pPr>
      <w:r w:rsidRPr="000C01AE">
        <w:rPr>
          <w:rFonts w:cs="Arial"/>
        </w:rPr>
        <w:t>La segnalazione può essere effettuata da:</w:t>
      </w:r>
    </w:p>
    <w:p w14:paraId="0D087917" w14:textId="77777777" w:rsidR="000C01AE" w:rsidRPr="000C01AE" w:rsidRDefault="000C01AE" w:rsidP="000C01AE">
      <w:pPr>
        <w:pStyle w:val="TitoloB"/>
        <w:keepNext/>
        <w:widowControl w:val="0"/>
        <w:numPr>
          <w:ilvl w:val="0"/>
          <w:numId w:val="66"/>
        </w:numPr>
        <w:spacing w:after="0" w:line="240" w:lineRule="auto"/>
        <w:ind w:right="-1"/>
        <w:outlineLvl w:val="1"/>
        <w:rPr>
          <w:b w:val="0"/>
        </w:rPr>
      </w:pPr>
      <w:r w:rsidRPr="000C01AE">
        <w:rPr>
          <w:b w:val="0"/>
        </w:rPr>
        <w:t>dipendenti pubblici;</w:t>
      </w:r>
    </w:p>
    <w:p w14:paraId="191A2F11" w14:textId="77777777" w:rsidR="000C01AE" w:rsidRPr="000C01AE" w:rsidRDefault="000C01AE" w:rsidP="000C01AE">
      <w:pPr>
        <w:pStyle w:val="TitoloB"/>
        <w:keepNext/>
        <w:widowControl w:val="0"/>
        <w:numPr>
          <w:ilvl w:val="0"/>
          <w:numId w:val="66"/>
        </w:numPr>
        <w:spacing w:after="0" w:line="240" w:lineRule="auto"/>
        <w:ind w:right="-1"/>
        <w:outlineLvl w:val="1"/>
        <w:rPr>
          <w:b w:val="0"/>
        </w:rPr>
      </w:pPr>
      <w:r w:rsidRPr="000C01AE">
        <w:rPr>
          <w:b w:val="0"/>
        </w:rPr>
        <w:t>lavoratori autonomi che svolgono la propria attività lavorativa presso soggetti del settore pubblico;</w:t>
      </w:r>
    </w:p>
    <w:p w14:paraId="1C8C4C23" w14:textId="77777777" w:rsidR="000C01AE" w:rsidRPr="000C01AE" w:rsidRDefault="000C01AE" w:rsidP="000C01AE">
      <w:pPr>
        <w:pStyle w:val="TitoloB"/>
        <w:keepNext/>
        <w:widowControl w:val="0"/>
        <w:numPr>
          <w:ilvl w:val="0"/>
          <w:numId w:val="66"/>
        </w:numPr>
        <w:spacing w:after="0" w:line="240" w:lineRule="auto"/>
        <w:ind w:right="-1"/>
        <w:outlineLvl w:val="1"/>
        <w:rPr>
          <w:b w:val="0"/>
        </w:rPr>
      </w:pPr>
      <w:r w:rsidRPr="000C01AE">
        <w:rPr>
          <w:b w:val="0"/>
        </w:rPr>
        <w:t>collaboratori, liberi professionisti e consulenti che prestano la propria attività lavorativa presso soggetti del settore pubblico;</w:t>
      </w:r>
    </w:p>
    <w:p w14:paraId="4D518D97" w14:textId="77777777" w:rsidR="000C01AE" w:rsidRPr="000C01AE" w:rsidRDefault="000C01AE" w:rsidP="000C01AE">
      <w:pPr>
        <w:pStyle w:val="TitoloB"/>
        <w:keepNext/>
        <w:widowControl w:val="0"/>
        <w:numPr>
          <w:ilvl w:val="0"/>
          <w:numId w:val="66"/>
        </w:numPr>
        <w:spacing w:after="0" w:line="240" w:lineRule="auto"/>
        <w:ind w:right="-1"/>
        <w:outlineLvl w:val="1"/>
        <w:rPr>
          <w:b w:val="0"/>
        </w:rPr>
      </w:pPr>
      <w:r w:rsidRPr="000C01AE">
        <w:rPr>
          <w:b w:val="0"/>
        </w:rPr>
        <w:t>volontari e tirocinanti;</w:t>
      </w:r>
    </w:p>
    <w:p w14:paraId="4CB1C082" w14:textId="77777777" w:rsidR="000C01AE" w:rsidRPr="000C01AE" w:rsidRDefault="000C01AE" w:rsidP="000C01AE">
      <w:pPr>
        <w:pStyle w:val="TitoloB"/>
        <w:keepNext/>
        <w:widowControl w:val="0"/>
        <w:numPr>
          <w:ilvl w:val="0"/>
          <w:numId w:val="66"/>
        </w:numPr>
        <w:spacing w:after="0" w:line="240" w:lineRule="auto"/>
        <w:ind w:right="-1"/>
        <w:outlineLvl w:val="1"/>
        <w:rPr>
          <w:b w:val="0"/>
        </w:rPr>
      </w:pPr>
      <w:r w:rsidRPr="000C01AE">
        <w:rPr>
          <w:b w:val="0"/>
        </w:rPr>
        <w:t>azionisti e le persone con funzioni di amministrazione, direzione, controllo, vigilanza o rappresentanza, anche qualora tali funzioni siano esercitate in via di mero fatto, presso soggetti del settore pubblico o del settore privato.</w:t>
      </w:r>
    </w:p>
    <w:p w14:paraId="5A330F38" w14:textId="77777777" w:rsidR="000C01AE" w:rsidRPr="000C01AE" w:rsidRDefault="000C01AE" w:rsidP="000C01AE">
      <w:pPr>
        <w:rPr>
          <w:rFonts w:cs="Arial"/>
        </w:rPr>
      </w:pPr>
      <w:r w:rsidRPr="000C01AE">
        <w:rPr>
          <w:rFonts w:cs="Arial"/>
        </w:rPr>
        <w:t xml:space="preserve">Il </w:t>
      </w:r>
      <w:proofErr w:type="spellStart"/>
      <w:r w:rsidRPr="000C01AE">
        <w:rPr>
          <w:rFonts w:cs="Arial"/>
        </w:rPr>
        <w:t>D.Lgs.</w:t>
      </w:r>
      <w:proofErr w:type="spellEnd"/>
      <w:r w:rsidRPr="000C01AE">
        <w:rPr>
          <w:rFonts w:cs="Arial"/>
        </w:rPr>
        <w:t xml:space="preserve"> specifica che vi sono diversi canali attraverso cui effettuare la segnalazione:</w:t>
      </w:r>
    </w:p>
    <w:p w14:paraId="73DBC8EF" w14:textId="77777777" w:rsidR="000C01AE" w:rsidRPr="000C01AE" w:rsidRDefault="000C01AE" w:rsidP="000C01AE">
      <w:pPr>
        <w:pStyle w:val="TitoloB"/>
        <w:keepNext/>
        <w:widowControl w:val="0"/>
        <w:numPr>
          <w:ilvl w:val="0"/>
          <w:numId w:val="65"/>
        </w:numPr>
        <w:spacing w:after="0" w:line="240" w:lineRule="auto"/>
        <w:ind w:right="-1"/>
        <w:outlineLvl w:val="1"/>
        <w:rPr>
          <w:b w:val="0"/>
          <w:bCs w:val="0"/>
        </w:rPr>
      </w:pPr>
      <w:r w:rsidRPr="000C01AE">
        <w:rPr>
          <w:b w:val="0"/>
          <w:bCs w:val="0"/>
        </w:rPr>
        <w:t>Canale interno;</w:t>
      </w:r>
    </w:p>
    <w:p w14:paraId="51B860C0" w14:textId="77777777" w:rsidR="000C01AE" w:rsidRPr="000C01AE" w:rsidRDefault="000C01AE" w:rsidP="000C01AE">
      <w:pPr>
        <w:pStyle w:val="TitoloB"/>
        <w:keepNext/>
        <w:widowControl w:val="0"/>
        <w:numPr>
          <w:ilvl w:val="0"/>
          <w:numId w:val="65"/>
        </w:numPr>
        <w:spacing w:after="0" w:line="240" w:lineRule="auto"/>
        <w:ind w:right="-1"/>
        <w:rPr>
          <w:b w:val="0"/>
          <w:bCs w:val="0"/>
        </w:rPr>
      </w:pPr>
      <w:r w:rsidRPr="000C01AE">
        <w:rPr>
          <w:b w:val="0"/>
          <w:bCs w:val="0"/>
        </w:rPr>
        <w:t>Canale esterno;</w:t>
      </w:r>
    </w:p>
    <w:p w14:paraId="29647D31" w14:textId="77777777" w:rsidR="000C01AE" w:rsidRPr="000C01AE" w:rsidRDefault="000C01AE" w:rsidP="000C01AE">
      <w:pPr>
        <w:pStyle w:val="TitoloB"/>
        <w:keepNext/>
        <w:widowControl w:val="0"/>
        <w:numPr>
          <w:ilvl w:val="0"/>
          <w:numId w:val="65"/>
        </w:numPr>
        <w:spacing w:after="0" w:line="240" w:lineRule="auto"/>
        <w:ind w:right="-1"/>
        <w:rPr>
          <w:b w:val="0"/>
          <w:bCs w:val="0"/>
        </w:rPr>
      </w:pPr>
      <w:r w:rsidRPr="000C01AE">
        <w:rPr>
          <w:b w:val="0"/>
          <w:bCs w:val="0"/>
        </w:rPr>
        <w:t>Divulgazione pubblica;</w:t>
      </w:r>
    </w:p>
    <w:p w14:paraId="0F2399AB" w14:textId="77777777" w:rsidR="000C01AE" w:rsidRPr="000C01AE" w:rsidRDefault="000C01AE" w:rsidP="000C01AE">
      <w:pPr>
        <w:pStyle w:val="TitoloB"/>
        <w:keepNext/>
        <w:widowControl w:val="0"/>
        <w:numPr>
          <w:ilvl w:val="0"/>
          <w:numId w:val="65"/>
        </w:numPr>
        <w:spacing w:after="0" w:line="240" w:lineRule="auto"/>
        <w:ind w:right="-1"/>
        <w:rPr>
          <w:b w:val="0"/>
          <w:bCs w:val="0"/>
        </w:rPr>
      </w:pPr>
      <w:r w:rsidRPr="000C01AE">
        <w:rPr>
          <w:b w:val="0"/>
          <w:bCs w:val="0"/>
        </w:rPr>
        <w:t>Denuncia all’autorità giudiziaria o contabile.</w:t>
      </w:r>
    </w:p>
    <w:p w14:paraId="63CAF8EE" w14:textId="77777777" w:rsidR="000C01AE" w:rsidRPr="000C01AE" w:rsidRDefault="000C01AE" w:rsidP="000C01AE">
      <w:pPr>
        <w:pStyle w:val="TitoloB"/>
        <w:keepNext/>
        <w:widowControl w:val="0"/>
        <w:spacing w:after="0" w:line="240" w:lineRule="auto"/>
        <w:ind w:right="-1"/>
        <w:rPr>
          <w:b w:val="0"/>
          <w:bCs w:val="0"/>
          <w:u w:val="single"/>
        </w:rPr>
      </w:pPr>
      <w:r w:rsidRPr="000C01AE">
        <w:rPr>
          <w:b w:val="0"/>
          <w:bCs w:val="0"/>
          <w:u w:val="single"/>
        </w:rPr>
        <w:t>Canale interno</w:t>
      </w:r>
    </w:p>
    <w:p w14:paraId="7CBCAB0F" w14:textId="1AED592C" w:rsidR="000C01AE" w:rsidRPr="000C01AE" w:rsidRDefault="000C01AE" w:rsidP="000C01AE">
      <w:pPr>
        <w:pStyle w:val="TitoloB"/>
        <w:keepNext/>
        <w:widowControl w:val="0"/>
        <w:spacing w:after="0" w:line="240" w:lineRule="auto"/>
        <w:ind w:right="-1"/>
        <w:rPr>
          <w:b w:val="0"/>
          <w:bCs w:val="0"/>
        </w:rPr>
      </w:pPr>
      <w:r w:rsidRPr="000C01AE">
        <w:rPr>
          <w:rFonts w:eastAsiaTheme="minorHAnsi"/>
          <w:b w:val="0"/>
          <w:bCs w:val="0"/>
          <w:lang w:eastAsia="en-US"/>
        </w:rPr>
        <w:t xml:space="preserve">All’interno del Comune di </w:t>
      </w:r>
      <w:r w:rsidR="00A42C41">
        <w:rPr>
          <w:rFonts w:eastAsiaTheme="minorHAnsi"/>
          <w:b w:val="0"/>
          <w:bCs w:val="0"/>
          <w:lang w:eastAsia="en-US"/>
        </w:rPr>
        <w:t>Genivolta</w:t>
      </w:r>
      <w:r w:rsidRPr="000C01AE">
        <w:rPr>
          <w:rFonts w:eastAsiaTheme="minorHAnsi"/>
          <w:b w:val="0"/>
          <w:bCs w:val="0"/>
          <w:lang w:eastAsia="en-US"/>
        </w:rPr>
        <w:t xml:space="preserve"> è possibile effettuare una segnalazione interna attraverso il seguente sito</w:t>
      </w:r>
      <w:r w:rsidRPr="000C01AE">
        <w:rPr>
          <w:b w:val="0"/>
          <w:bCs w:val="0"/>
        </w:rPr>
        <w:t xml:space="preserve"> </w:t>
      </w:r>
      <w:hyperlink r:id="rId13" w:history="1">
        <w:r w:rsidR="007C762C" w:rsidRPr="00E95CBA">
          <w:rPr>
            <w:rStyle w:val="Collegamentoipertestuale"/>
            <w:b w:val="0"/>
            <w:bCs w:val="0"/>
          </w:rPr>
          <w:t>https://comunedigenivolta.whistleblowing.it/#/</w:t>
        </w:r>
      </w:hyperlink>
      <w:r w:rsidR="007C762C">
        <w:rPr>
          <w:b w:val="0"/>
          <w:bCs w:val="0"/>
        </w:rPr>
        <w:t xml:space="preserve"> </w:t>
      </w:r>
      <w:r w:rsidRPr="000C01AE">
        <w:rPr>
          <w:b w:val="0"/>
          <w:bCs w:val="0"/>
        </w:rPr>
        <w:t>La segnalazione è inoltrata direttamente al Responsabile della Prevenzione della Corruzione e della Trasparenza, unico abilitato alla lettura delle segnalazioni, che sarà tenuto all’anonimato del segnalante, del contenuto della segnalazione e di eventuale ulteriore documentazione.</w:t>
      </w:r>
    </w:p>
    <w:p w14:paraId="6CFB4E2A" w14:textId="77777777" w:rsidR="000C01AE" w:rsidRPr="000C01AE" w:rsidRDefault="000C01AE" w:rsidP="000C01AE">
      <w:pPr>
        <w:pStyle w:val="TitoloB"/>
        <w:keepNext/>
        <w:widowControl w:val="0"/>
        <w:spacing w:after="0" w:line="240" w:lineRule="auto"/>
        <w:ind w:right="-1"/>
        <w:rPr>
          <w:b w:val="0"/>
          <w:bCs w:val="0"/>
        </w:rPr>
      </w:pPr>
      <w:r w:rsidRPr="000C01AE">
        <w:rPr>
          <w:b w:val="0"/>
          <w:bCs w:val="0"/>
          <w:u w:val="single"/>
        </w:rPr>
        <w:t>Canale esterno</w:t>
      </w:r>
    </w:p>
    <w:p w14:paraId="7FF29ADD" w14:textId="77777777" w:rsidR="000C01AE" w:rsidRPr="000C01AE" w:rsidRDefault="000C01AE" w:rsidP="000C01AE">
      <w:pPr>
        <w:rPr>
          <w:rFonts w:cs="Arial"/>
        </w:rPr>
      </w:pPr>
      <w:r w:rsidRPr="000C01AE">
        <w:rPr>
          <w:rFonts w:cs="Arial"/>
        </w:rPr>
        <w:t xml:space="preserve">L’autorità competente alla ricezione delle segnalazioni esterne è ANAC attraverso l’apposita pagina web </w:t>
      </w:r>
      <w:hyperlink r:id="rId14" w:anchor="/">
        <w:r w:rsidRPr="000C01AE">
          <w:rPr>
            <w:rStyle w:val="Collegamentoipertestuale"/>
            <w:rFonts w:cs="Arial"/>
          </w:rPr>
          <w:t>https://servizi.anticorruzione.it/segnalazioni/#/</w:t>
        </w:r>
      </w:hyperlink>
      <w:r w:rsidRPr="000C01AE">
        <w:rPr>
          <w:rFonts w:cs="Arial"/>
        </w:rPr>
        <w:t xml:space="preserve"> che consente l’inoltro e la gestione di segnalazioni in maniera del tutto anonima.</w:t>
      </w:r>
    </w:p>
    <w:p w14:paraId="192C08FF" w14:textId="77777777" w:rsidR="000C01AE" w:rsidRPr="000C01AE" w:rsidRDefault="000C01AE" w:rsidP="000C01AE">
      <w:pPr>
        <w:pStyle w:val="Corpotesto"/>
        <w:jc w:val="both"/>
      </w:pPr>
    </w:p>
    <w:p w14:paraId="4961EA17" w14:textId="77777777" w:rsidR="000C01AE" w:rsidRPr="000C01AE" w:rsidRDefault="000C01AE" w:rsidP="000C01AE">
      <w:pPr>
        <w:jc w:val="center"/>
        <w:rPr>
          <w:rFonts w:cs="Arial"/>
        </w:rPr>
      </w:pPr>
      <w:r w:rsidRPr="000C01AE">
        <w:rPr>
          <w:rFonts w:cs="Arial"/>
          <w:noProof/>
          <w:lang w:eastAsia="it-IT"/>
        </w:rPr>
        <w:lastRenderedPageBreak/>
        <w:drawing>
          <wp:inline distT="0" distB="0" distL="0" distR="0" wp14:anchorId="3D4866A2" wp14:editId="2A22F3D5">
            <wp:extent cx="4575808" cy="2478405"/>
            <wp:effectExtent l="19050" t="19050" r="15240" b="17145"/>
            <wp:docPr id="758712754" name="Immagine 1" descr="Immagine che contiene testo, schermata, Carattere, Pagina Web&#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12754" name="Immagine 1" descr="Immagine che contiene testo, schermata, Carattere, Pagina Web&#10;&#10;Il contenuto generato dall'IA potrebbe non essere corretto."/>
                    <pic:cNvPicPr/>
                  </pic:nvPicPr>
                  <pic:blipFill>
                    <a:blip r:embed="rId15">
                      <a:extLst>
                        <a:ext uri="{28A0092B-C50C-407E-A947-70E740481C1C}">
                          <a14:useLocalDpi xmlns:a14="http://schemas.microsoft.com/office/drawing/2010/main" val="0"/>
                        </a:ext>
                      </a:extLst>
                    </a:blip>
                    <a:stretch>
                      <a:fillRect/>
                    </a:stretch>
                  </pic:blipFill>
                  <pic:spPr bwMode="auto">
                    <a:xfrm>
                      <a:off x="0" y="0"/>
                      <a:ext cx="4575808" cy="2478405"/>
                    </a:xfrm>
                    <a:prstGeom prst="rect">
                      <a:avLst/>
                    </a:prstGeom>
                    <a:noFill/>
                    <a:ln>
                      <a:solidFill>
                        <a:schemeClr val="accent1"/>
                      </a:solidFill>
                    </a:ln>
                  </pic:spPr>
                </pic:pic>
              </a:graphicData>
            </a:graphic>
          </wp:inline>
        </w:drawing>
      </w:r>
    </w:p>
    <w:p w14:paraId="4C5E4AD3" w14:textId="77777777" w:rsidR="000C01AE" w:rsidRPr="000C01AE" w:rsidRDefault="000C01AE" w:rsidP="000C01AE">
      <w:pPr>
        <w:rPr>
          <w:rFonts w:cs="Arial"/>
        </w:rPr>
      </w:pPr>
      <w:r w:rsidRPr="000C01AE">
        <w:rPr>
          <w:rFonts w:cs="Arial"/>
        </w:rPr>
        <w:t>Si può ricorrere alla segnalazione esterna solamente nei seguenti casi:</w:t>
      </w:r>
    </w:p>
    <w:p w14:paraId="58694BA8" w14:textId="77777777" w:rsidR="000C01AE" w:rsidRPr="000C01AE" w:rsidRDefault="000C01AE" w:rsidP="000C01AE">
      <w:pPr>
        <w:pStyle w:val="Paragrafoelenco"/>
        <w:numPr>
          <w:ilvl w:val="0"/>
          <w:numId w:val="64"/>
        </w:numPr>
        <w:contextualSpacing/>
        <w:rPr>
          <w:rFonts w:cs="Arial"/>
        </w:rPr>
      </w:pPr>
      <w:r w:rsidRPr="000C01AE">
        <w:rPr>
          <w:rFonts w:cs="Arial"/>
        </w:rPr>
        <w:t>Non è previsto, non è attivo o non è conforme all’interno dell’Amministrazione il canale di segnalazione interno;</w:t>
      </w:r>
    </w:p>
    <w:p w14:paraId="5A883F0D" w14:textId="77777777" w:rsidR="000C01AE" w:rsidRPr="000C01AE" w:rsidRDefault="000C01AE" w:rsidP="000C01AE">
      <w:pPr>
        <w:pStyle w:val="Paragrafoelenco"/>
        <w:numPr>
          <w:ilvl w:val="0"/>
          <w:numId w:val="64"/>
        </w:numPr>
        <w:contextualSpacing/>
        <w:rPr>
          <w:rFonts w:cs="Arial"/>
        </w:rPr>
      </w:pPr>
      <w:r w:rsidRPr="000C01AE">
        <w:rPr>
          <w:rFonts w:cs="Arial"/>
        </w:rPr>
        <w:t>La persona segnalante ha già effettuato una segnalazione interna e la stessa non ha avuto seguito;</w:t>
      </w:r>
    </w:p>
    <w:p w14:paraId="37E7B974" w14:textId="77777777" w:rsidR="000C01AE" w:rsidRPr="000C01AE" w:rsidRDefault="000C01AE" w:rsidP="000C01AE">
      <w:pPr>
        <w:pStyle w:val="Paragrafoelenco"/>
        <w:numPr>
          <w:ilvl w:val="0"/>
          <w:numId w:val="64"/>
        </w:numPr>
        <w:contextualSpacing/>
        <w:rPr>
          <w:rFonts w:cs="Arial"/>
        </w:rPr>
      </w:pPr>
      <w:r w:rsidRPr="000C01AE">
        <w:rPr>
          <w:rFonts w:cs="Arial"/>
        </w:rPr>
        <w:t>La persona segnalante ha fondati motivi di ritenere che, se effettuasse una segnalazione interna, alla stessa non sarebbe dato efficace seguito ovvero che la stessa segnalazione possa determinare il rischio di ritorsione;</w:t>
      </w:r>
    </w:p>
    <w:p w14:paraId="4FC267EA" w14:textId="77777777" w:rsidR="000C01AE" w:rsidRPr="000C01AE" w:rsidRDefault="000C01AE" w:rsidP="000C01AE">
      <w:pPr>
        <w:pStyle w:val="Paragrafoelenco"/>
        <w:numPr>
          <w:ilvl w:val="0"/>
          <w:numId w:val="64"/>
        </w:numPr>
        <w:contextualSpacing/>
        <w:rPr>
          <w:rFonts w:cs="Arial"/>
        </w:rPr>
      </w:pPr>
      <w:r w:rsidRPr="000C01AE">
        <w:rPr>
          <w:rFonts w:cs="Arial"/>
        </w:rPr>
        <w:t>La persona segnalante ha fondato motivo di ritenere che la violazione possa costituire un pericolo imminente o palese per il pubblico interesse.</w:t>
      </w:r>
    </w:p>
    <w:p w14:paraId="70194E80" w14:textId="77777777" w:rsidR="000C01AE" w:rsidRPr="000C01AE" w:rsidRDefault="000C01AE" w:rsidP="000C01AE">
      <w:pPr>
        <w:pStyle w:val="TitoloB"/>
        <w:keepNext/>
        <w:widowControl w:val="0"/>
        <w:spacing w:after="0" w:line="240" w:lineRule="auto"/>
        <w:ind w:right="-1"/>
        <w:rPr>
          <w:b w:val="0"/>
          <w:bCs w:val="0"/>
          <w:u w:val="single"/>
        </w:rPr>
      </w:pPr>
      <w:r w:rsidRPr="000C01AE">
        <w:rPr>
          <w:b w:val="0"/>
          <w:bCs w:val="0"/>
          <w:u w:val="single"/>
        </w:rPr>
        <w:t>Divulgazione pubblica</w:t>
      </w:r>
    </w:p>
    <w:p w14:paraId="15E5842E" w14:textId="77777777" w:rsidR="000C01AE" w:rsidRPr="000C01AE" w:rsidRDefault="000C01AE" w:rsidP="000C01AE">
      <w:pPr>
        <w:pStyle w:val="TitoloB"/>
        <w:keepNext/>
        <w:widowControl w:val="0"/>
        <w:spacing w:after="0" w:line="240" w:lineRule="auto"/>
        <w:ind w:right="-1"/>
        <w:rPr>
          <w:b w:val="0"/>
          <w:bCs w:val="0"/>
        </w:rPr>
      </w:pPr>
      <w:r w:rsidRPr="000C01AE">
        <w:rPr>
          <w:b w:val="0"/>
          <w:bCs w:val="0"/>
        </w:rPr>
        <w:t>La persona segnalante che effettua una divulgazione pubblica beneficia della protezione prevista dal presente decreto se, al momento della divulgazione pubblica, ricorre una delle seguenti condizioni:</w:t>
      </w:r>
    </w:p>
    <w:p w14:paraId="210C9FF8" w14:textId="77777777" w:rsidR="000C01AE" w:rsidRPr="000C01AE" w:rsidRDefault="000C01AE" w:rsidP="000C01AE">
      <w:pPr>
        <w:pStyle w:val="TitoloB"/>
        <w:keepNext/>
        <w:widowControl w:val="0"/>
        <w:numPr>
          <w:ilvl w:val="0"/>
          <w:numId w:val="63"/>
        </w:numPr>
        <w:spacing w:after="0" w:line="240" w:lineRule="auto"/>
        <w:ind w:right="-1"/>
        <w:rPr>
          <w:b w:val="0"/>
          <w:bCs w:val="0"/>
        </w:rPr>
      </w:pPr>
      <w:r w:rsidRPr="000C01AE">
        <w:rPr>
          <w:b w:val="0"/>
          <w:bCs w:val="0"/>
        </w:rPr>
        <w:t>La persona segnalante ha effettuato una segnalazione interna e/o esterna e non è stato dato riscontro entro i termini stabiliti in merito alle misure previste o adottate per dar seguito alle segnalazioni;</w:t>
      </w:r>
    </w:p>
    <w:p w14:paraId="7C61BCF7" w14:textId="77777777" w:rsidR="000C01AE" w:rsidRPr="000C01AE" w:rsidRDefault="000C01AE" w:rsidP="000C01AE">
      <w:pPr>
        <w:pStyle w:val="TitoloB"/>
        <w:keepNext/>
        <w:widowControl w:val="0"/>
        <w:numPr>
          <w:ilvl w:val="0"/>
          <w:numId w:val="63"/>
        </w:numPr>
        <w:spacing w:after="0" w:line="240" w:lineRule="auto"/>
        <w:ind w:right="-1"/>
        <w:rPr>
          <w:b w:val="0"/>
          <w:bCs w:val="0"/>
        </w:rPr>
      </w:pPr>
      <w:r w:rsidRPr="000C01AE">
        <w:rPr>
          <w:b w:val="0"/>
          <w:bCs w:val="0"/>
        </w:rPr>
        <w:t>La persona segnalante ha fondato motivo di ritenere che la violazione possa costituire un pericolo imminente o palese per il pubblico interesse;</w:t>
      </w:r>
    </w:p>
    <w:p w14:paraId="4C9B41B2" w14:textId="77777777" w:rsidR="000C01AE" w:rsidRPr="000C01AE" w:rsidRDefault="000C01AE" w:rsidP="000C01AE">
      <w:pPr>
        <w:pStyle w:val="TitoloB"/>
        <w:keepNext/>
        <w:widowControl w:val="0"/>
        <w:numPr>
          <w:ilvl w:val="0"/>
          <w:numId w:val="63"/>
        </w:numPr>
        <w:spacing w:after="0" w:line="240" w:lineRule="auto"/>
        <w:ind w:right="-1"/>
        <w:rPr>
          <w:b w:val="0"/>
          <w:bCs w:val="0"/>
        </w:rPr>
      </w:pPr>
      <w:r w:rsidRPr="000C01AE">
        <w:rPr>
          <w:b w:val="0"/>
          <w:bCs w:val="0"/>
        </w:rPr>
        <w:t>La persona segnalante ha fondato motivo di ritenere che la segnalazione esterna possa comportare il rischio di ritorsioni o possa non avere efficace seguito in ragione delle specifiche circostanze del caso concreto, come quelle in cui possano essere occultate o distrutte prove oppure in cui vi sia fondato timore che chi ha ricevuto la segnalazione possa essere colluso con l'autore della violazione o coinvolto nella violazione stessa.</w:t>
      </w:r>
    </w:p>
    <w:p w14:paraId="1BDB0B2C" w14:textId="4E15A189" w:rsidR="000C01AE" w:rsidRPr="000C01AE" w:rsidRDefault="000C01AE" w:rsidP="000C01AE">
      <w:pPr>
        <w:pStyle w:val="Corpotesto"/>
        <w:jc w:val="both"/>
      </w:pPr>
      <w:r w:rsidRPr="000C01AE">
        <w:t>PROGRAMMAZIONE: la misura è già attuata.</w:t>
      </w:r>
    </w:p>
    <w:p w14:paraId="10A2F9E2" w14:textId="77777777" w:rsidR="00434A4B" w:rsidRPr="00860921" w:rsidRDefault="00434A4B" w:rsidP="00860921">
      <w:pPr>
        <w:pStyle w:val="Corpotesto"/>
        <w:jc w:val="both"/>
        <w:rPr>
          <w:bCs/>
          <w:sz w:val="24"/>
        </w:rPr>
      </w:pPr>
    </w:p>
    <w:p w14:paraId="3F75E941" w14:textId="77777777" w:rsidR="00050E0E" w:rsidRPr="00860921" w:rsidRDefault="00050E0E" w:rsidP="00860921">
      <w:pPr>
        <w:pStyle w:val="Paragrafoelenco"/>
        <w:keepNext/>
        <w:widowControl w:val="0"/>
        <w:numPr>
          <w:ilvl w:val="0"/>
          <w:numId w:val="13"/>
        </w:numPr>
        <w:outlineLvl w:val="1"/>
        <w:rPr>
          <w:rFonts w:eastAsia="Times New Roman" w:cs="Arial"/>
          <w:b/>
          <w:bCs/>
          <w:vanish/>
          <w:sz w:val="24"/>
          <w:szCs w:val="24"/>
          <w:lang w:eastAsia="it-IT"/>
        </w:rPr>
      </w:pPr>
      <w:bookmarkStart w:id="92" w:name="_Toc120633672"/>
      <w:bookmarkStart w:id="93" w:name="_Toc150499237"/>
      <w:bookmarkStart w:id="94" w:name="_Toc87523828"/>
      <w:bookmarkStart w:id="95" w:name="_Toc97543258"/>
      <w:bookmarkEnd w:id="92"/>
      <w:bookmarkEnd w:id="93"/>
    </w:p>
    <w:p w14:paraId="0319CE0B" w14:textId="77777777" w:rsidR="00050E0E" w:rsidRPr="00860921" w:rsidRDefault="00050E0E" w:rsidP="00860921">
      <w:pPr>
        <w:pStyle w:val="Paragrafoelenco"/>
        <w:keepNext/>
        <w:widowControl w:val="0"/>
        <w:numPr>
          <w:ilvl w:val="0"/>
          <w:numId w:val="13"/>
        </w:numPr>
        <w:outlineLvl w:val="1"/>
        <w:rPr>
          <w:rFonts w:eastAsia="Times New Roman" w:cs="Arial"/>
          <w:b/>
          <w:bCs/>
          <w:vanish/>
          <w:sz w:val="24"/>
          <w:szCs w:val="24"/>
          <w:lang w:eastAsia="it-IT"/>
        </w:rPr>
      </w:pPr>
      <w:bookmarkStart w:id="96" w:name="_Toc120633673"/>
      <w:bookmarkStart w:id="97" w:name="_Toc150499238"/>
      <w:bookmarkEnd w:id="96"/>
      <w:bookmarkEnd w:id="97"/>
    </w:p>
    <w:p w14:paraId="3DC49390" w14:textId="77777777" w:rsidR="00050E0E" w:rsidRPr="00860921" w:rsidRDefault="00050E0E" w:rsidP="00860921">
      <w:pPr>
        <w:pStyle w:val="Paragrafoelenco"/>
        <w:keepNext/>
        <w:widowControl w:val="0"/>
        <w:numPr>
          <w:ilvl w:val="1"/>
          <w:numId w:val="13"/>
        </w:numPr>
        <w:outlineLvl w:val="1"/>
        <w:rPr>
          <w:rFonts w:eastAsia="Times New Roman" w:cs="Arial"/>
          <w:b/>
          <w:bCs/>
          <w:vanish/>
          <w:sz w:val="24"/>
          <w:szCs w:val="24"/>
          <w:lang w:eastAsia="it-IT"/>
        </w:rPr>
      </w:pPr>
      <w:bookmarkStart w:id="98" w:name="_Toc120633674"/>
      <w:bookmarkStart w:id="99" w:name="_Toc150499239"/>
      <w:bookmarkEnd w:id="98"/>
      <w:bookmarkEnd w:id="99"/>
    </w:p>
    <w:p w14:paraId="61ACD4FB" w14:textId="77777777" w:rsidR="00050E0E" w:rsidRPr="00860921" w:rsidRDefault="00050E0E" w:rsidP="00860921">
      <w:pPr>
        <w:pStyle w:val="Paragrafoelenco"/>
        <w:keepNext/>
        <w:widowControl w:val="0"/>
        <w:numPr>
          <w:ilvl w:val="1"/>
          <w:numId w:val="13"/>
        </w:numPr>
        <w:outlineLvl w:val="1"/>
        <w:rPr>
          <w:rFonts w:eastAsia="Times New Roman" w:cs="Arial"/>
          <w:b/>
          <w:bCs/>
          <w:vanish/>
          <w:sz w:val="24"/>
          <w:szCs w:val="24"/>
          <w:lang w:eastAsia="it-IT"/>
        </w:rPr>
      </w:pPr>
      <w:bookmarkStart w:id="100" w:name="_Toc120633675"/>
      <w:bookmarkStart w:id="101" w:name="_Toc150499240"/>
      <w:bookmarkEnd w:id="100"/>
      <w:bookmarkEnd w:id="101"/>
    </w:p>
    <w:p w14:paraId="740ECFA0" w14:textId="77777777" w:rsidR="00050E0E" w:rsidRPr="00860921" w:rsidRDefault="00050E0E" w:rsidP="00860921">
      <w:pPr>
        <w:pStyle w:val="Paragrafoelenco"/>
        <w:keepNext/>
        <w:widowControl w:val="0"/>
        <w:numPr>
          <w:ilvl w:val="1"/>
          <w:numId w:val="13"/>
        </w:numPr>
        <w:outlineLvl w:val="1"/>
        <w:rPr>
          <w:rFonts w:eastAsia="Times New Roman" w:cs="Arial"/>
          <w:b/>
          <w:bCs/>
          <w:vanish/>
          <w:sz w:val="24"/>
          <w:szCs w:val="24"/>
          <w:lang w:eastAsia="it-IT"/>
        </w:rPr>
      </w:pPr>
      <w:bookmarkStart w:id="102" w:name="_Toc120633676"/>
      <w:bookmarkStart w:id="103" w:name="_Toc150499241"/>
      <w:bookmarkEnd w:id="102"/>
      <w:bookmarkEnd w:id="103"/>
    </w:p>
    <w:p w14:paraId="74C7194C" w14:textId="77777777" w:rsidR="00050E0E" w:rsidRPr="00860921" w:rsidRDefault="00050E0E" w:rsidP="00860921">
      <w:pPr>
        <w:pStyle w:val="Paragrafoelenco"/>
        <w:keepNext/>
        <w:widowControl w:val="0"/>
        <w:numPr>
          <w:ilvl w:val="1"/>
          <w:numId w:val="13"/>
        </w:numPr>
        <w:outlineLvl w:val="1"/>
        <w:rPr>
          <w:rFonts w:eastAsia="Times New Roman" w:cs="Arial"/>
          <w:b/>
          <w:bCs/>
          <w:vanish/>
          <w:sz w:val="24"/>
          <w:szCs w:val="24"/>
          <w:lang w:eastAsia="it-IT"/>
        </w:rPr>
      </w:pPr>
      <w:bookmarkStart w:id="104" w:name="_Toc120633677"/>
      <w:bookmarkStart w:id="105" w:name="_Toc150499242"/>
      <w:bookmarkEnd w:id="104"/>
      <w:bookmarkEnd w:id="105"/>
    </w:p>
    <w:p w14:paraId="3BC7BCA7" w14:textId="77777777" w:rsidR="00547D9E" w:rsidRPr="00860921" w:rsidRDefault="00547D9E" w:rsidP="00A26F08">
      <w:pPr>
        <w:pStyle w:val="Titolo1"/>
      </w:pPr>
      <w:bookmarkStart w:id="106" w:name="_Toc97543261"/>
      <w:bookmarkStart w:id="107" w:name="_Toc150499246"/>
      <w:bookmarkStart w:id="108" w:name="_Toc87523806"/>
      <w:bookmarkEnd w:id="94"/>
      <w:bookmarkEnd w:id="95"/>
      <w:r w:rsidRPr="00860921">
        <w:t>La t</w:t>
      </w:r>
      <w:r w:rsidR="000F055E" w:rsidRPr="00860921">
        <w:t>rasparenza</w:t>
      </w:r>
      <w:bookmarkEnd w:id="106"/>
      <w:bookmarkEnd w:id="107"/>
      <w:r w:rsidR="000F055E" w:rsidRPr="00860921">
        <w:t xml:space="preserve"> </w:t>
      </w:r>
      <w:bookmarkStart w:id="109" w:name="_Toc87523807"/>
      <w:bookmarkEnd w:id="108"/>
    </w:p>
    <w:p w14:paraId="70C86A2C" w14:textId="77777777" w:rsidR="00A26F08" w:rsidRDefault="00A26F08" w:rsidP="00A26F08">
      <w:pPr>
        <w:pStyle w:val="TitoloB"/>
        <w:keepNext/>
        <w:widowControl w:val="0"/>
        <w:spacing w:after="0" w:line="240" w:lineRule="auto"/>
        <w:ind w:left="1080" w:right="0"/>
        <w:outlineLvl w:val="1"/>
        <w:rPr>
          <w:sz w:val="24"/>
          <w:szCs w:val="24"/>
        </w:rPr>
      </w:pPr>
      <w:bookmarkStart w:id="110" w:name="_Toc97543262"/>
      <w:bookmarkStart w:id="111" w:name="_Toc150499247"/>
    </w:p>
    <w:p w14:paraId="3C2073C4" w14:textId="7DA652EE" w:rsidR="002403BB" w:rsidRPr="00860921" w:rsidRDefault="00547D9E" w:rsidP="00A26F08">
      <w:pPr>
        <w:pStyle w:val="Titolo3"/>
      </w:pPr>
      <w:r w:rsidRPr="00860921">
        <w:t>La t</w:t>
      </w:r>
      <w:r w:rsidR="005E4B09" w:rsidRPr="00860921">
        <w:t>rasparenza</w:t>
      </w:r>
      <w:bookmarkEnd w:id="109"/>
      <w:r w:rsidR="000F055E" w:rsidRPr="00860921">
        <w:t xml:space="preserve"> </w:t>
      </w:r>
      <w:r w:rsidRPr="00860921">
        <w:t>e l’accesso civico</w:t>
      </w:r>
      <w:bookmarkEnd w:id="110"/>
      <w:bookmarkEnd w:id="111"/>
    </w:p>
    <w:p w14:paraId="6983C42A" w14:textId="77777777" w:rsidR="00842F8E" w:rsidRPr="00B8243D" w:rsidRDefault="005E4B09" w:rsidP="00B8243D">
      <w:r w:rsidRPr="00B8243D">
        <w:t xml:space="preserve">La trasparenza è </w:t>
      </w:r>
      <w:r w:rsidR="00842F8E" w:rsidRPr="00B8243D">
        <w:t>la</w:t>
      </w:r>
      <w:r w:rsidRPr="00B8243D">
        <w:t xml:space="preserve"> misur</w:t>
      </w:r>
      <w:r w:rsidR="00842F8E" w:rsidRPr="00B8243D">
        <w:t>a</w:t>
      </w:r>
      <w:r w:rsidR="00597DB1" w:rsidRPr="00B8243D">
        <w:t xml:space="preserve"> </w:t>
      </w:r>
      <w:r w:rsidR="00547D9E" w:rsidRPr="00B8243D">
        <w:t>general</w:t>
      </w:r>
      <w:r w:rsidR="00842F8E" w:rsidRPr="00B8243D">
        <w:t>e</w:t>
      </w:r>
      <w:r w:rsidR="00547D9E" w:rsidRPr="00B8243D">
        <w:t xml:space="preserve"> più </w:t>
      </w:r>
      <w:r w:rsidR="00842F8E" w:rsidRPr="00B8243D">
        <w:t xml:space="preserve">rilevante </w:t>
      </w:r>
      <w:r w:rsidR="00597DB1" w:rsidRPr="00B8243D">
        <w:t>d</w:t>
      </w:r>
      <w:r w:rsidRPr="00B8243D">
        <w:t>ell’intero impianto delineato d</w:t>
      </w:r>
      <w:r w:rsidR="00547D9E" w:rsidRPr="00B8243D">
        <w:t>a</w:t>
      </w:r>
      <w:r w:rsidRPr="00B8243D">
        <w:t xml:space="preserve">lla legge 190/2012. </w:t>
      </w:r>
    </w:p>
    <w:p w14:paraId="3325CFB9" w14:textId="0753F062" w:rsidR="005E4B09" w:rsidRPr="00B8243D" w:rsidRDefault="005E4B09" w:rsidP="00B8243D">
      <w:r w:rsidRPr="00B8243D">
        <w:t xml:space="preserve">Secondo </w:t>
      </w:r>
      <w:r w:rsidR="00BB22A9" w:rsidRPr="00B8243D">
        <w:t>l'art.</w:t>
      </w:r>
      <w:r w:rsidRPr="00B8243D">
        <w:t xml:space="preserve"> 1 d.lgs. 33/2013, rinnovato dal </w:t>
      </w:r>
      <w:r w:rsidR="006E1E62" w:rsidRPr="00B8243D">
        <w:t>d.lgs.</w:t>
      </w:r>
      <w:r w:rsidRPr="00B8243D">
        <w:t xml:space="preserve"> 97/2016</w:t>
      </w:r>
      <w:r w:rsidR="00597DB1" w:rsidRPr="00B8243D">
        <w:t>, l</w:t>
      </w:r>
      <w:r w:rsidRPr="00B8243D">
        <w:t xml:space="preserve">a trasparenza è </w:t>
      </w:r>
      <w:r w:rsidR="00597DB1" w:rsidRPr="00B8243D">
        <w:rPr>
          <w:i/>
          <w:iCs/>
        </w:rPr>
        <w:t>l’</w:t>
      </w:r>
      <w:r w:rsidRPr="00B8243D">
        <w:rPr>
          <w:i/>
          <w:iCs/>
        </w:rPr>
        <w:t>accessibilità totale</w:t>
      </w:r>
      <w:r w:rsidRPr="00B8243D">
        <w:t xml:space="preserve"> </w:t>
      </w:r>
      <w:r w:rsidR="00597DB1" w:rsidRPr="00B8243D">
        <w:t>a</w:t>
      </w:r>
      <w:r w:rsidRPr="00B8243D">
        <w:t xml:space="preserve"> dati e documenti d</w:t>
      </w:r>
      <w:r w:rsidR="00597DB1" w:rsidRPr="00B8243D">
        <w:t>e</w:t>
      </w:r>
      <w:r w:rsidRPr="00B8243D">
        <w:t>lle pubbliche amministrazioni</w:t>
      </w:r>
      <w:r w:rsidR="00842F8E" w:rsidRPr="00B8243D">
        <w:t xml:space="preserve"> </w:t>
      </w:r>
      <w:r w:rsidR="00597DB1" w:rsidRPr="00B8243D">
        <w:t xml:space="preserve">consentita </w:t>
      </w:r>
      <w:r w:rsidRPr="00B8243D">
        <w:t>allo scopo di tutelare i diritti dei cittadini, promuovere la partecipazione</w:t>
      </w:r>
      <w:r w:rsidR="00597DB1" w:rsidRPr="00B8243D">
        <w:t xml:space="preserve">, </w:t>
      </w:r>
      <w:r w:rsidRPr="00B8243D">
        <w:t>favorire forme diffuse di controllo sul perseguimento delle funzioni istituzionali e sull'utilizzo delle risorse pubbliche.</w:t>
      </w:r>
    </w:p>
    <w:p w14:paraId="4BD34810" w14:textId="77777777" w:rsidR="00547D9E" w:rsidRPr="00B8243D" w:rsidRDefault="005E4B09" w:rsidP="00B8243D">
      <w:r w:rsidRPr="00B8243D">
        <w:t>La trasparenza è attuata</w:t>
      </w:r>
      <w:r w:rsidR="00547D9E" w:rsidRPr="00B8243D">
        <w:t xml:space="preserve">: </w:t>
      </w:r>
    </w:p>
    <w:p w14:paraId="4C9EC4D9" w14:textId="40CC2E2A" w:rsidR="005E4B09" w:rsidRPr="00B8243D" w:rsidRDefault="005E4B09" w:rsidP="00B8243D">
      <w:pPr>
        <w:pStyle w:val="Paragrafoelenco"/>
        <w:numPr>
          <w:ilvl w:val="0"/>
          <w:numId w:val="67"/>
        </w:numPr>
      </w:pPr>
      <w:r w:rsidRPr="00B8243D">
        <w:t xml:space="preserve">attraverso la pubblicazione dei dati e delle informazioni elencate dalla legge sul sito web </w:t>
      </w:r>
      <w:r w:rsidR="00597DB1" w:rsidRPr="00B8243D">
        <w:t xml:space="preserve">istituzionale </w:t>
      </w:r>
      <w:r w:rsidRPr="00B8243D">
        <w:t xml:space="preserve">nella sezione </w:t>
      </w:r>
      <w:r w:rsidRPr="00B8243D">
        <w:rPr>
          <w:i/>
          <w:iCs/>
        </w:rPr>
        <w:t>Amministrazione trasparente</w:t>
      </w:r>
      <w:r w:rsidR="00547D9E" w:rsidRPr="00B8243D">
        <w:t xml:space="preserve">; </w:t>
      </w:r>
    </w:p>
    <w:p w14:paraId="5957C28E" w14:textId="34F7A049" w:rsidR="00597DB1" w:rsidRPr="00B8243D" w:rsidRDefault="00842F8E" w:rsidP="00B8243D">
      <w:pPr>
        <w:pStyle w:val="Paragrafoelenco"/>
        <w:numPr>
          <w:ilvl w:val="0"/>
          <w:numId w:val="67"/>
        </w:numPr>
      </w:pPr>
      <w:r w:rsidRPr="00B8243D">
        <w:t xml:space="preserve">garantendo </w:t>
      </w:r>
      <w:r w:rsidR="00547D9E" w:rsidRPr="00B8243D">
        <w:t xml:space="preserve">l’istituto </w:t>
      </w:r>
      <w:r w:rsidR="00547D9E" w:rsidRPr="00B8243D">
        <w:rPr>
          <w:i/>
          <w:iCs/>
        </w:rPr>
        <w:t>dell’accesso civico</w:t>
      </w:r>
      <w:r w:rsidR="00547D9E" w:rsidRPr="00B8243D">
        <w:t xml:space="preserve">, </w:t>
      </w:r>
      <w:r w:rsidR="0085622E" w:rsidRPr="00B8243D">
        <w:t>semplice e generalizzato</w:t>
      </w:r>
      <w:r w:rsidRPr="00B8243D">
        <w:t xml:space="preserve"> (art. 5 co. 1 e 2 d.lgs. 33/2013)</w:t>
      </w:r>
      <w:r w:rsidR="0085622E" w:rsidRPr="00B8243D">
        <w:t xml:space="preserve">. </w:t>
      </w:r>
    </w:p>
    <w:p w14:paraId="132E98DC" w14:textId="1DBA98D7" w:rsidR="00842F8E" w:rsidRPr="00B8243D" w:rsidRDefault="00842F8E" w:rsidP="00B8243D">
      <w:r w:rsidRPr="00B8243D">
        <w:lastRenderedPageBreak/>
        <w:t xml:space="preserve">Art. 5 co. 1 d.lgs. 33/2013: </w:t>
      </w:r>
      <w:r w:rsidR="0018164F" w:rsidRPr="00B8243D">
        <w:rPr>
          <w:i/>
          <w:iCs/>
        </w:rPr>
        <w:t>L'obbligo previsto dalla normativa vigente in capo alle pubbliche amministrazioni di pubblicare documenti, informazioni o dati comporta il diritto di chiunque di richiedere i medesimi, nei casi in cui sia stata omessa la loro pubblicazione</w:t>
      </w:r>
      <w:r w:rsidR="003828DA" w:rsidRPr="00B8243D">
        <w:t xml:space="preserve"> (accesso civico semplice). </w:t>
      </w:r>
    </w:p>
    <w:p w14:paraId="0D157399" w14:textId="29B91E27" w:rsidR="0018164F" w:rsidRPr="00B8243D" w:rsidRDefault="00842F8E" w:rsidP="00B8243D">
      <w:r w:rsidRPr="00B8243D">
        <w:t xml:space="preserve">Art. 5 co. 2 d.lgs. 33/2013: </w:t>
      </w:r>
      <w:r w:rsidR="0018164F" w:rsidRPr="00B8243D">
        <w:rPr>
          <w:i/>
          <w:iCs/>
        </w:rPr>
        <w:t>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w:t>
      </w:r>
      <w:r w:rsidR="0018164F" w:rsidRPr="00B8243D">
        <w:t xml:space="preserve"> obbligatoria ai sensi del d</w:t>
      </w:r>
      <w:r w:rsidR="003828DA" w:rsidRPr="00B8243D">
        <w:t xml:space="preserve">.lgs. </w:t>
      </w:r>
      <w:r w:rsidR="0018164F" w:rsidRPr="00B8243D">
        <w:t>33/2013</w:t>
      </w:r>
      <w:r w:rsidR="003828DA" w:rsidRPr="00B8243D">
        <w:t xml:space="preserve"> (accesso civico generalizzato)</w:t>
      </w:r>
      <w:r w:rsidR="0018164F" w:rsidRPr="00B8243D">
        <w:t xml:space="preserve">. </w:t>
      </w:r>
    </w:p>
    <w:p w14:paraId="6ECE5500" w14:textId="77777777" w:rsidR="006326F3" w:rsidRPr="00B8243D" w:rsidRDefault="006326F3" w:rsidP="00B8243D">
      <w:pPr>
        <w:rPr>
          <w:color w:val="0F243E" w:themeColor="text2" w:themeShade="80"/>
        </w:rPr>
      </w:pPr>
    </w:p>
    <w:p w14:paraId="014B5A51" w14:textId="23CEDCD4" w:rsidR="006326F3" w:rsidRPr="00860921" w:rsidRDefault="00102945" w:rsidP="00B8243D">
      <w:pPr>
        <w:pStyle w:val="Titolo3"/>
      </w:pPr>
      <w:bookmarkStart w:id="112" w:name="_Toc87523810"/>
      <w:bookmarkStart w:id="113" w:name="_Toc97543263"/>
      <w:bookmarkStart w:id="114" w:name="_Toc150499248"/>
      <w:r w:rsidRPr="00860921">
        <w:t>Il regolamento</w:t>
      </w:r>
      <w:r w:rsidR="006326F3" w:rsidRPr="00860921">
        <w:t xml:space="preserve"> di accesso</w:t>
      </w:r>
      <w:bookmarkEnd w:id="112"/>
      <w:bookmarkEnd w:id="113"/>
      <w:bookmarkEnd w:id="114"/>
    </w:p>
    <w:p w14:paraId="5F0A52D5" w14:textId="60290692" w:rsidR="005E4B09" w:rsidRPr="000175F5" w:rsidRDefault="005E4B09" w:rsidP="00B8243D">
      <w:r w:rsidRPr="000175F5">
        <w:t>L’Autorità</w:t>
      </w:r>
      <w:r w:rsidR="00547D9E" w:rsidRPr="000175F5">
        <w:t xml:space="preserve"> suggerisce l’adozione</w:t>
      </w:r>
      <w:r w:rsidR="00842F8E" w:rsidRPr="000175F5">
        <w:t xml:space="preserve"> </w:t>
      </w:r>
      <w:r w:rsidRPr="000175F5">
        <w:t>di un regolamento</w:t>
      </w:r>
      <w:r w:rsidR="00842F8E" w:rsidRPr="000175F5">
        <w:t xml:space="preserve"> </w:t>
      </w:r>
      <w:r w:rsidRPr="000175F5">
        <w:t>che fornisca un quadro organico e coordinato dei profili applicativi relativi alle</w:t>
      </w:r>
      <w:r w:rsidR="00547D9E" w:rsidRPr="000175F5">
        <w:t xml:space="preserve"> diverse</w:t>
      </w:r>
      <w:r w:rsidRPr="000175F5">
        <w:t xml:space="preserve"> tipologie di accesso</w:t>
      </w:r>
      <w:r w:rsidR="00547D9E" w:rsidRPr="000175F5">
        <w:t xml:space="preserve">. </w:t>
      </w:r>
      <w:r w:rsidRPr="000175F5">
        <w:t xml:space="preserve">La disciplina dovrebbe prevedere: una parte dedicata alla disciplina dell’accesso documentale di cui alla legge 241/1990; una parte dedicata alla disciplina dell’accesso civico semplice connesso agli obblighi di pubblicazione; una terza parte sull’accesso generalizzato. </w:t>
      </w:r>
    </w:p>
    <w:p w14:paraId="775610F7" w14:textId="6D43EC98" w:rsidR="00B8243D" w:rsidRPr="000175F5" w:rsidRDefault="00B8243D" w:rsidP="00B8243D">
      <w:pPr>
        <w:rPr>
          <w:rFonts w:cs="Times New Roman"/>
        </w:rPr>
      </w:pPr>
      <w:bookmarkStart w:id="115" w:name="_Toc405477342"/>
      <w:r w:rsidRPr="000175F5">
        <w:rPr>
          <w:rFonts w:cs="Times New Roman"/>
        </w:rPr>
        <w:t xml:space="preserve">In attuazione di quanto sopra, questa amministrazione si è dotata del Regolamento per la disciplina delle diverse forme di accesso con deliberazione di Consiglio Comunale </w:t>
      </w:r>
      <w:r w:rsidR="00216920" w:rsidRPr="00216920">
        <w:rPr>
          <w:rFonts w:cs="Times New Roman"/>
        </w:rPr>
        <w:t>n. 42 del 30/10/2014</w:t>
      </w:r>
      <w:r w:rsidRPr="000175F5">
        <w:rPr>
          <w:rFonts w:cs="Times New Roman"/>
        </w:rPr>
        <w:t xml:space="preserve">. </w:t>
      </w:r>
    </w:p>
    <w:p w14:paraId="384B113E" w14:textId="54E33DDD" w:rsidR="00B8243D" w:rsidRPr="000175F5" w:rsidRDefault="00B8243D" w:rsidP="00B8243D">
      <w:pPr>
        <w:rPr>
          <w:rFonts w:cs="Times New Roman"/>
        </w:rPr>
      </w:pPr>
      <w:bookmarkStart w:id="116" w:name="_Toc437942563"/>
      <w:bookmarkStart w:id="117" w:name="_Toc405477354"/>
      <w:bookmarkEnd w:id="115"/>
      <w:r w:rsidRPr="000175F5">
        <w:rPr>
          <w:rFonts w:cs="Times New Roman"/>
        </w:rPr>
        <w:t xml:space="preserve">MISURA PROPOSTA: Del diritto all’accesso civico è stata data informazione sul sito dell’ente. A norma del d.lgs. 33/2013 in “Amministrazione trasparente” sono pubblicati: </w:t>
      </w:r>
    </w:p>
    <w:p w14:paraId="32E1472C" w14:textId="77777777" w:rsidR="00B8243D" w:rsidRPr="000175F5" w:rsidRDefault="00B8243D" w:rsidP="00B8243D">
      <w:pPr>
        <w:pStyle w:val="Paragrafoelenco"/>
        <w:numPr>
          <w:ilvl w:val="0"/>
          <w:numId w:val="69"/>
        </w:numPr>
        <w:rPr>
          <w:rFonts w:cs="Times New Roman"/>
        </w:rPr>
      </w:pPr>
      <w:r w:rsidRPr="000175F5">
        <w:rPr>
          <w:rFonts w:cs="Times New Roman"/>
        </w:rPr>
        <w:t xml:space="preserve">le modalità per l’esercizio dell’accesso civico; </w:t>
      </w:r>
    </w:p>
    <w:p w14:paraId="0774400D" w14:textId="77777777" w:rsidR="00B8243D" w:rsidRPr="000175F5" w:rsidRDefault="00B8243D" w:rsidP="00B8243D">
      <w:pPr>
        <w:pStyle w:val="Paragrafoelenco"/>
        <w:numPr>
          <w:ilvl w:val="0"/>
          <w:numId w:val="69"/>
        </w:numPr>
        <w:rPr>
          <w:rFonts w:cs="Times New Roman"/>
        </w:rPr>
      </w:pPr>
      <w:r w:rsidRPr="000175F5">
        <w:rPr>
          <w:rFonts w:cs="Times New Roman"/>
        </w:rPr>
        <w:t xml:space="preserve">il nominativo del responsabile della trasparenza al quale presentare la richiesta d’accesso civico; </w:t>
      </w:r>
    </w:p>
    <w:p w14:paraId="11C9D6C4" w14:textId="77777777" w:rsidR="00B8243D" w:rsidRPr="000175F5" w:rsidRDefault="00B8243D" w:rsidP="00B8243D">
      <w:pPr>
        <w:pStyle w:val="Paragrafoelenco"/>
        <w:numPr>
          <w:ilvl w:val="0"/>
          <w:numId w:val="69"/>
        </w:numPr>
        <w:rPr>
          <w:rFonts w:cs="Times New Roman"/>
        </w:rPr>
      </w:pPr>
      <w:r w:rsidRPr="000175F5">
        <w:rPr>
          <w:rFonts w:cs="Times New Roman"/>
        </w:rPr>
        <w:t>il nominativo del titolare del potere sostitutivo, con l’indicazione dei relativi recapiti telefonici e delle caselle di posta elettronica istituzionale;</w:t>
      </w:r>
    </w:p>
    <w:p w14:paraId="1FE6032F" w14:textId="77777777" w:rsidR="00216920" w:rsidRPr="000C01AE" w:rsidRDefault="00216920" w:rsidP="00216920">
      <w:pPr>
        <w:pStyle w:val="Corpotesto"/>
        <w:jc w:val="both"/>
      </w:pPr>
      <w:r w:rsidRPr="000C01AE">
        <w:t>PROGRAMMAZIONE: la misura è già attuata.</w:t>
      </w:r>
    </w:p>
    <w:p w14:paraId="7ABB1C81" w14:textId="1EEFDC07" w:rsidR="005E4B09" w:rsidRPr="00860921" w:rsidRDefault="005E4B09" w:rsidP="00860921">
      <w:pPr>
        <w:rPr>
          <w:rFonts w:cs="Arial"/>
          <w:bCs/>
          <w:color w:val="EE0000"/>
          <w:sz w:val="24"/>
          <w:szCs w:val="24"/>
        </w:rPr>
      </w:pPr>
    </w:p>
    <w:p w14:paraId="7741815D" w14:textId="578F47ED" w:rsidR="005E4B09" w:rsidRPr="00860921" w:rsidRDefault="007A36CC" w:rsidP="00087FD1">
      <w:pPr>
        <w:pStyle w:val="Titolo3"/>
      </w:pPr>
      <w:bookmarkStart w:id="118" w:name="_Toc87523813"/>
      <w:bookmarkStart w:id="119" w:name="_Toc97543264"/>
      <w:bookmarkStart w:id="120" w:name="_Toc150499249"/>
      <w:r w:rsidRPr="00860921">
        <w:t>Le m</w:t>
      </w:r>
      <w:r w:rsidR="000F055E" w:rsidRPr="00860921">
        <w:t>odalità attuative</w:t>
      </w:r>
      <w:bookmarkEnd w:id="116"/>
      <w:r w:rsidRPr="00860921">
        <w:t xml:space="preserve"> degli obblighi di </w:t>
      </w:r>
      <w:bookmarkEnd w:id="118"/>
      <w:r w:rsidR="007329DD" w:rsidRPr="00860921">
        <w:t>pubblicazione</w:t>
      </w:r>
      <w:bookmarkEnd w:id="119"/>
      <w:bookmarkEnd w:id="120"/>
    </w:p>
    <w:p w14:paraId="5DE3E407" w14:textId="037369E9" w:rsidR="00FE4DC4" w:rsidRPr="00087FD1" w:rsidRDefault="005E4B09" w:rsidP="00087FD1">
      <w:r w:rsidRPr="00087FD1">
        <w:t xml:space="preserve">L’Allegato </w:t>
      </w:r>
      <w:r w:rsidR="00BB22A9" w:rsidRPr="00087FD1">
        <w:t>n.</w:t>
      </w:r>
      <w:r w:rsidRPr="00087FD1">
        <w:t xml:space="preserve"> 1, della deliberazione ANAC 28</w:t>
      </w:r>
      <w:r w:rsidR="007A36CC" w:rsidRPr="00087FD1">
        <w:t>/12/</w:t>
      </w:r>
      <w:r w:rsidRPr="00087FD1">
        <w:t xml:space="preserve">2016 </w:t>
      </w:r>
      <w:r w:rsidR="00BB22A9" w:rsidRPr="00087FD1">
        <w:t>n.</w:t>
      </w:r>
      <w:r w:rsidRPr="00087FD1">
        <w:t xml:space="preserve"> 1310, integrando i contenuti della scheda allegata al </w:t>
      </w:r>
      <w:r w:rsidR="006E1E62" w:rsidRPr="00087FD1">
        <w:t>d.lgs.</w:t>
      </w:r>
      <w:r w:rsidRPr="00087FD1">
        <w:t xml:space="preserve"> 33/2013, ha rinnovato la struttura delle informazioni da pubblicar</w:t>
      </w:r>
      <w:r w:rsidR="00F07354" w:rsidRPr="00087FD1">
        <w:t>e</w:t>
      </w:r>
      <w:r w:rsidR="005118B6" w:rsidRPr="00087FD1">
        <w:t>,</w:t>
      </w:r>
      <w:r w:rsidRPr="00087FD1">
        <w:t xml:space="preserve"> adeguandola alle novità introdotte dal </w:t>
      </w:r>
      <w:r w:rsidR="006E1E62" w:rsidRPr="00087FD1">
        <w:t>d.lgs.</w:t>
      </w:r>
      <w:r w:rsidRPr="00087FD1">
        <w:t xml:space="preserve"> 97/2016. </w:t>
      </w:r>
      <w:r w:rsidR="00FE4DC4" w:rsidRPr="00087FD1">
        <w:t xml:space="preserve">Successivamente, l’Autorità ha assunto le deliberazioni </w:t>
      </w:r>
      <w:proofErr w:type="spellStart"/>
      <w:r w:rsidR="00FE4DC4" w:rsidRPr="00087FD1">
        <w:t>nn</w:t>
      </w:r>
      <w:proofErr w:type="spellEnd"/>
      <w:r w:rsidR="00FE4DC4" w:rsidRPr="00087FD1">
        <w:t xml:space="preserve">. 264/2023 e 601/2023. </w:t>
      </w:r>
    </w:p>
    <w:p w14:paraId="2E57F7BB" w14:textId="19B6CBD9" w:rsidR="005E4B09" w:rsidRPr="00087FD1" w:rsidRDefault="005118B6" w:rsidP="00087FD1">
      <w:r w:rsidRPr="00087FD1">
        <w:t>I</w:t>
      </w:r>
      <w:r w:rsidR="005E4B09" w:rsidRPr="00087FD1">
        <w:t xml:space="preserve">l legislatore ha organizzato in sottosezioni di primo e di secondo livello le informazioni, i documenti ed i dati da pubblicare obbligatoriamente </w:t>
      </w:r>
      <w:r w:rsidR="00F07354" w:rsidRPr="00087FD1">
        <w:t xml:space="preserve">in </w:t>
      </w:r>
      <w:r w:rsidR="005E4B09" w:rsidRPr="00087FD1">
        <w:t xml:space="preserve">Amministrazione trasparente. </w:t>
      </w:r>
    </w:p>
    <w:p w14:paraId="7FC79380" w14:textId="14B70A91" w:rsidR="005E4B09" w:rsidRPr="00087FD1" w:rsidRDefault="005118B6" w:rsidP="00087FD1">
      <w:r w:rsidRPr="00087FD1">
        <w:t>Le</w:t>
      </w:r>
      <w:r w:rsidR="005E4B09" w:rsidRPr="00087FD1">
        <w:t xml:space="preserve"> sottosezioni devono essere denominate esattamente come indicato dalla deliberazione </w:t>
      </w:r>
      <w:r w:rsidR="00FE4DC4" w:rsidRPr="00087FD1">
        <w:t>n.</w:t>
      </w:r>
      <w:r w:rsidR="005E4B09" w:rsidRPr="00087FD1">
        <w:t xml:space="preserve"> 1310/2016</w:t>
      </w:r>
      <w:r w:rsidR="00FE4DC4" w:rsidRPr="00087FD1">
        <w:t xml:space="preserve"> e dalle successive deliberazioni integrative dell’Autorità. </w:t>
      </w:r>
    </w:p>
    <w:p w14:paraId="26729C26" w14:textId="4CF7BAF8" w:rsidR="005E4B09" w:rsidRPr="00087FD1" w:rsidRDefault="0018164F" w:rsidP="00087FD1">
      <w:r w:rsidRPr="00087FD1">
        <w:t>Le schede allegate</w:t>
      </w:r>
      <w:r w:rsidR="00B02132" w:rsidRPr="00087FD1">
        <w:t>,</w:t>
      </w:r>
      <w:r w:rsidRPr="00087FD1">
        <w:t xml:space="preserve"> denominate </w:t>
      </w:r>
      <w:r w:rsidRPr="00087FD1">
        <w:rPr>
          <w:b/>
          <w:u w:val="single"/>
        </w:rPr>
        <w:t>D - Misure di trasparenza</w:t>
      </w:r>
      <w:r w:rsidR="00B02132" w:rsidRPr="00087FD1">
        <w:t xml:space="preserve">, </w:t>
      </w:r>
      <w:r w:rsidR="005E4B09" w:rsidRPr="00087FD1">
        <w:t>ripropongono i contenuti, assai puntuali e dettagliati, quindi più che esaustivi, dell</w:t>
      </w:r>
      <w:r w:rsidR="00B02132" w:rsidRPr="00087FD1">
        <w:t xml:space="preserve">e citate </w:t>
      </w:r>
      <w:r w:rsidR="005E4B09" w:rsidRPr="00087FD1">
        <w:t>deliberazion</w:t>
      </w:r>
      <w:r w:rsidR="00B02132" w:rsidRPr="00087FD1">
        <w:t xml:space="preserve">i dell’Autorità. </w:t>
      </w:r>
      <w:r w:rsidR="005E4B09" w:rsidRPr="00087FD1">
        <w:t xml:space="preserve"> </w:t>
      </w:r>
    </w:p>
    <w:p w14:paraId="5F486DAB" w14:textId="4B2D521D" w:rsidR="005E4B09" w:rsidRPr="00087FD1" w:rsidRDefault="005E4B09" w:rsidP="00087FD1">
      <w:pPr>
        <w:rPr>
          <w:bCs/>
        </w:rPr>
      </w:pPr>
      <w:r w:rsidRPr="00087FD1">
        <w:t>Rispetto all</w:t>
      </w:r>
      <w:r w:rsidR="00B02132" w:rsidRPr="00087FD1">
        <w:t>e</w:t>
      </w:r>
      <w:r w:rsidRPr="00087FD1">
        <w:t xml:space="preserve"> deliberazion</w:t>
      </w:r>
      <w:r w:rsidR="00B02132" w:rsidRPr="00087FD1">
        <w:t xml:space="preserve">i dell’ANAC, </w:t>
      </w:r>
      <w:r w:rsidRPr="00087FD1">
        <w:t xml:space="preserve">le </w:t>
      </w:r>
      <w:r w:rsidR="00B02132" w:rsidRPr="00087FD1">
        <w:t xml:space="preserve">schede denominate </w:t>
      </w:r>
      <w:r w:rsidR="00B02132" w:rsidRPr="00087FD1">
        <w:rPr>
          <w:b/>
          <w:u w:val="single"/>
        </w:rPr>
        <w:t>D - Misure di trasparenza</w:t>
      </w:r>
      <w:r w:rsidR="00B02132" w:rsidRPr="00087FD1">
        <w:t xml:space="preserve"> </w:t>
      </w:r>
      <w:r w:rsidRPr="00087FD1">
        <w:t xml:space="preserve">sono composte da </w:t>
      </w:r>
      <w:r w:rsidR="00B02132" w:rsidRPr="00087FD1">
        <w:t xml:space="preserve">7 </w:t>
      </w:r>
      <w:r w:rsidRPr="00087FD1">
        <w:t xml:space="preserve">colonne, anziché </w:t>
      </w:r>
      <w:r w:rsidR="00B02132" w:rsidRPr="00087FD1">
        <w:t>6</w:t>
      </w:r>
      <w:r w:rsidRPr="00087FD1">
        <w:t xml:space="preserve">. </w:t>
      </w:r>
      <w:r w:rsidR="005B1D6E" w:rsidRPr="00087FD1">
        <w:rPr>
          <w:bCs/>
        </w:rPr>
        <w:t>È</w:t>
      </w:r>
      <w:r w:rsidR="0018164F" w:rsidRPr="00087FD1">
        <w:rPr>
          <w:bCs/>
        </w:rPr>
        <w:t xml:space="preserve"> stata aggiunta la C</w:t>
      </w:r>
      <w:r w:rsidRPr="00087FD1">
        <w:rPr>
          <w:bCs/>
        </w:rPr>
        <w:t>olonna G per indi</w:t>
      </w:r>
      <w:r w:rsidR="00E82D62" w:rsidRPr="00087FD1">
        <w:rPr>
          <w:bCs/>
        </w:rPr>
        <w:t>viduare</w:t>
      </w:r>
      <w:r w:rsidRPr="00087FD1">
        <w:rPr>
          <w:bCs/>
        </w:rPr>
        <w:t>, in modo chiaro, l’ufficio responsabile d</w:t>
      </w:r>
      <w:r w:rsidR="00B02132" w:rsidRPr="00087FD1">
        <w:rPr>
          <w:bCs/>
        </w:rPr>
        <w:t>i ciascuna</w:t>
      </w:r>
      <w:r w:rsidRPr="00087FD1">
        <w:rPr>
          <w:bCs/>
        </w:rPr>
        <w:t xml:space="preserve"> pubblicazion</w:t>
      </w:r>
      <w:r w:rsidR="00B02132" w:rsidRPr="00087FD1">
        <w:rPr>
          <w:bCs/>
        </w:rPr>
        <w:t>e</w:t>
      </w:r>
      <w:r w:rsidRPr="00087FD1">
        <w:rPr>
          <w:bCs/>
        </w:rPr>
        <w:t xml:space="preserve"> </w:t>
      </w:r>
      <w:r w:rsidR="00B02132" w:rsidRPr="00087FD1">
        <w:rPr>
          <w:bCs/>
        </w:rPr>
        <w:t xml:space="preserve">indicata nelle </w:t>
      </w:r>
      <w:r w:rsidRPr="00087FD1">
        <w:rPr>
          <w:bCs/>
        </w:rPr>
        <w:t>altre colonne</w:t>
      </w:r>
      <w:r w:rsidR="00B02132" w:rsidRPr="00087FD1">
        <w:rPr>
          <w:bCs/>
        </w:rPr>
        <w:t xml:space="preserve"> (A-F)</w:t>
      </w:r>
      <w:r w:rsidRPr="00087FD1">
        <w:rPr>
          <w:bCs/>
        </w:rPr>
        <w:t xml:space="preserve">.  </w:t>
      </w:r>
    </w:p>
    <w:p w14:paraId="15EE8C09" w14:textId="1FB800E0" w:rsidR="004F2BBB" w:rsidRPr="00087FD1" w:rsidRDefault="0018164F" w:rsidP="00087FD1">
      <w:pPr>
        <w:rPr>
          <w:bCs/>
        </w:rPr>
      </w:pPr>
      <w:r w:rsidRPr="00087FD1">
        <w:rPr>
          <w:bCs/>
        </w:rPr>
        <w:t>Le tabelle,</w:t>
      </w:r>
      <w:r w:rsidR="00767BC7" w:rsidRPr="00087FD1">
        <w:rPr>
          <w:bCs/>
        </w:rPr>
        <w:t xml:space="preserve"> organizzate in </w:t>
      </w:r>
      <w:r w:rsidR="005E4B09" w:rsidRPr="00087FD1">
        <w:rPr>
          <w:bCs/>
        </w:rPr>
        <w:t xml:space="preserve">sette colonne, recano i dati seguenti: </w:t>
      </w:r>
    </w:p>
    <w:p w14:paraId="71064B24" w14:textId="77777777" w:rsidR="00E16FCC" w:rsidRPr="00860921" w:rsidRDefault="00E16FCC" w:rsidP="00860921">
      <w:pPr>
        <w:rPr>
          <w:rFonts w:cs="Arial"/>
          <w:bCs/>
          <w:color w:val="000000" w:themeColor="text1"/>
          <w:sz w:val="24"/>
          <w:szCs w:val="24"/>
        </w:rPr>
      </w:pPr>
    </w:p>
    <w:tbl>
      <w:tblPr>
        <w:tblStyle w:val="Tabellasemplice-3"/>
        <w:tblW w:w="8188" w:type="dxa"/>
        <w:jc w:val="center"/>
        <w:tblLook w:val="04A0" w:firstRow="1" w:lastRow="0" w:firstColumn="1" w:lastColumn="0" w:noHBand="0" w:noVBand="1"/>
      </w:tblPr>
      <w:tblGrid>
        <w:gridCol w:w="1283"/>
        <w:gridCol w:w="6905"/>
      </w:tblGrid>
      <w:tr w:rsidR="004F2BBB" w:rsidRPr="00860921" w14:paraId="085C10D3" w14:textId="77777777" w:rsidTr="00B0213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83" w:type="dxa"/>
          </w:tcPr>
          <w:p w14:paraId="2C8A77BC" w14:textId="3F064ED5" w:rsidR="004F2BBB" w:rsidRPr="00860921" w:rsidRDefault="004F2BBB" w:rsidP="00860921">
            <w:pPr>
              <w:jc w:val="center"/>
              <w:rPr>
                <w:rFonts w:cs="Arial"/>
                <w:color w:val="000000" w:themeColor="text1"/>
                <w:sz w:val="20"/>
                <w:szCs w:val="20"/>
              </w:rPr>
            </w:pPr>
            <w:r w:rsidRPr="00860921">
              <w:rPr>
                <w:rFonts w:cs="Arial"/>
                <w:color w:val="000000" w:themeColor="text1"/>
                <w:sz w:val="20"/>
                <w:szCs w:val="20"/>
              </w:rPr>
              <w:t>COLONNA</w:t>
            </w:r>
          </w:p>
        </w:tc>
        <w:tc>
          <w:tcPr>
            <w:tcW w:w="6905" w:type="dxa"/>
          </w:tcPr>
          <w:p w14:paraId="57202C9B" w14:textId="30AB28C3" w:rsidR="004F2BBB" w:rsidRPr="00860921" w:rsidRDefault="004F2BBB" w:rsidP="00860921">
            <w:pPr>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r w:rsidRPr="00860921">
              <w:rPr>
                <w:rFonts w:cs="Arial"/>
                <w:color w:val="000000" w:themeColor="text1"/>
                <w:sz w:val="20"/>
                <w:szCs w:val="20"/>
              </w:rPr>
              <w:t>CONTENUTO</w:t>
            </w:r>
          </w:p>
        </w:tc>
      </w:tr>
      <w:tr w:rsidR="004F2BBB" w:rsidRPr="00860921" w14:paraId="657D0F69" w14:textId="77777777" w:rsidTr="00B021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tcPr>
          <w:p w14:paraId="6B2CFCFC" w14:textId="63D5B63C" w:rsidR="00767BC7" w:rsidRPr="00860921" w:rsidRDefault="00767BC7" w:rsidP="00860921">
            <w:pPr>
              <w:jc w:val="center"/>
              <w:rPr>
                <w:rFonts w:cs="Arial"/>
                <w:bCs w:val="0"/>
                <w:color w:val="000000" w:themeColor="text1"/>
                <w:sz w:val="20"/>
                <w:szCs w:val="20"/>
              </w:rPr>
            </w:pPr>
            <w:r w:rsidRPr="00860921">
              <w:rPr>
                <w:rFonts w:cs="Arial"/>
                <w:bCs w:val="0"/>
                <w:color w:val="000000" w:themeColor="text1"/>
                <w:sz w:val="20"/>
                <w:szCs w:val="20"/>
              </w:rPr>
              <w:t>A</w:t>
            </w:r>
          </w:p>
        </w:tc>
        <w:tc>
          <w:tcPr>
            <w:tcW w:w="6905" w:type="dxa"/>
          </w:tcPr>
          <w:p w14:paraId="37F24CE7" w14:textId="08064E0F" w:rsidR="00767BC7" w:rsidRPr="00860921" w:rsidRDefault="00767BC7" w:rsidP="00860921">
            <w:pPr>
              <w:jc w:val="center"/>
              <w:cnfStyle w:val="000000100000" w:firstRow="0" w:lastRow="0" w:firstColumn="0" w:lastColumn="0" w:oddVBand="0" w:evenVBand="0" w:oddHBand="1" w:evenHBand="0" w:firstRowFirstColumn="0" w:firstRowLastColumn="0" w:lastRowFirstColumn="0" w:lastRowLastColumn="0"/>
              <w:rPr>
                <w:rFonts w:cs="Arial"/>
                <w:bCs/>
                <w:color w:val="000000" w:themeColor="text1"/>
                <w:sz w:val="20"/>
                <w:szCs w:val="20"/>
              </w:rPr>
            </w:pPr>
            <w:r w:rsidRPr="00860921">
              <w:rPr>
                <w:rFonts w:cs="Arial"/>
                <w:bCs/>
                <w:color w:val="000000" w:themeColor="text1"/>
                <w:sz w:val="20"/>
                <w:szCs w:val="20"/>
              </w:rPr>
              <w:t xml:space="preserve">denominazione delle </w:t>
            </w:r>
            <w:r w:rsidR="00D47973" w:rsidRPr="00860921">
              <w:rPr>
                <w:rFonts w:cs="Arial"/>
                <w:bCs/>
                <w:color w:val="000000" w:themeColor="text1"/>
                <w:sz w:val="20"/>
                <w:szCs w:val="20"/>
              </w:rPr>
              <w:t>sottosezioni</w:t>
            </w:r>
            <w:r w:rsidRPr="00860921">
              <w:rPr>
                <w:rFonts w:cs="Arial"/>
                <w:bCs/>
                <w:color w:val="000000" w:themeColor="text1"/>
                <w:sz w:val="20"/>
                <w:szCs w:val="20"/>
              </w:rPr>
              <w:t xml:space="preserve"> di primo livello</w:t>
            </w:r>
          </w:p>
        </w:tc>
      </w:tr>
      <w:tr w:rsidR="004F2BBB" w:rsidRPr="00860921" w14:paraId="2AAA02A1" w14:textId="77777777" w:rsidTr="00B02132">
        <w:trPr>
          <w:jc w:val="center"/>
        </w:trPr>
        <w:tc>
          <w:tcPr>
            <w:cnfStyle w:val="001000000000" w:firstRow="0" w:lastRow="0" w:firstColumn="1" w:lastColumn="0" w:oddVBand="0" w:evenVBand="0" w:oddHBand="0" w:evenHBand="0" w:firstRowFirstColumn="0" w:firstRowLastColumn="0" w:lastRowFirstColumn="0" w:lastRowLastColumn="0"/>
            <w:tcW w:w="1283" w:type="dxa"/>
          </w:tcPr>
          <w:p w14:paraId="09C512A7" w14:textId="18BD1183" w:rsidR="00767BC7" w:rsidRPr="00860921" w:rsidRDefault="004F2BBB" w:rsidP="00860921">
            <w:pPr>
              <w:jc w:val="center"/>
              <w:rPr>
                <w:rFonts w:cs="Arial"/>
                <w:bCs w:val="0"/>
                <w:color w:val="000000" w:themeColor="text1"/>
                <w:sz w:val="20"/>
                <w:szCs w:val="20"/>
              </w:rPr>
            </w:pPr>
            <w:r w:rsidRPr="00860921">
              <w:rPr>
                <w:rFonts w:cs="Arial"/>
                <w:bCs w:val="0"/>
                <w:color w:val="000000" w:themeColor="text1"/>
                <w:sz w:val="20"/>
                <w:szCs w:val="20"/>
              </w:rPr>
              <w:t>B</w:t>
            </w:r>
          </w:p>
        </w:tc>
        <w:tc>
          <w:tcPr>
            <w:tcW w:w="6905" w:type="dxa"/>
          </w:tcPr>
          <w:p w14:paraId="68694C89" w14:textId="4DFF5EAD" w:rsidR="00767BC7" w:rsidRPr="00860921" w:rsidRDefault="004F2BBB" w:rsidP="00860921">
            <w:pPr>
              <w:jc w:val="center"/>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szCs w:val="20"/>
              </w:rPr>
            </w:pPr>
            <w:r w:rsidRPr="00860921">
              <w:rPr>
                <w:rFonts w:cs="Arial"/>
                <w:bCs/>
                <w:color w:val="000000" w:themeColor="text1"/>
                <w:sz w:val="20"/>
                <w:szCs w:val="20"/>
              </w:rPr>
              <w:t xml:space="preserve">denominazione delle </w:t>
            </w:r>
            <w:r w:rsidR="00D47973" w:rsidRPr="00860921">
              <w:rPr>
                <w:rFonts w:cs="Arial"/>
                <w:bCs/>
                <w:color w:val="000000" w:themeColor="text1"/>
                <w:sz w:val="20"/>
                <w:szCs w:val="20"/>
              </w:rPr>
              <w:t>sottosezioni</w:t>
            </w:r>
            <w:r w:rsidRPr="00860921">
              <w:rPr>
                <w:rFonts w:cs="Arial"/>
                <w:bCs/>
                <w:color w:val="000000" w:themeColor="text1"/>
                <w:sz w:val="20"/>
                <w:szCs w:val="20"/>
              </w:rPr>
              <w:t xml:space="preserve"> di secondo livello</w:t>
            </w:r>
          </w:p>
        </w:tc>
      </w:tr>
      <w:tr w:rsidR="004F2BBB" w:rsidRPr="00860921" w14:paraId="2E2E0D3C" w14:textId="77777777" w:rsidTr="00B021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tcPr>
          <w:p w14:paraId="5733B2AE" w14:textId="28558FC7" w:rsidR="00767BC7" w:rsidRPr="00860921" w:rsidRDefault="004F2BBB" w:rsidP="00860921">
            <w:pPr>
              <w:jc w:val="center"/>
              <w:rPr>
                <w:rFonts w:cs="Arial"/>
                <w:bCs w:val="0"/>
                <w:color w:val="000000" w:themeColor="text1"/>
                <w:sz w:val="20"/>
                <w:szCs w:val="20"/>
              </w:rPr>
            </w:pPr>
            <w:r w:rsidRPr="00860921">
              <w:rPr>
                <w:rFonts w:cs="Arial"/>
                <w:bCs w:val="0"/>
                <w:color w:val="000000" w:themeColor="text1"/>
                <w:sz w:val="20"/>
                <w:szCs w:val="20"/>
              </w:rPr>
              <w:t>C</w:t>
            </w:r>
          </w:p>
        </w:tc>
        <w:tc>
          <w:tcPr>
            <w:tcW w:w="6905" w:type="dxa"/>
          </w:tcPr>
          <w:p w14:paraId="755A8F08" w14:textId="52112F25" w:rsidR="00767BC7" w:rsidRPr="00860921" w:rsidRDefault="004F2BBB" w:rsidP="00860921">
            <w:pPr>
              <w:jc w:val="center"/>
              <w:cnfStyle w:val="000000100000" w:firstRow="0" w:lastRow="0" w:firstColumn="0" w:lastColumn="0" w:oddVBand="0" w:evenVBand="0" w:oddHBand="1" w:evenHBand="0" w:firstRowFirstColumn="0" w:firstRowLastColumn="0" w:lastRowFirstColumn="0" w:lastRowLastColumn="0"/>
              <w:rPr>
                <w:rFonts w:cs="Arial"/>
                <w:bCs/>
                <w:color w:val="000000" w:themeColor="text1"/>
                <w:sz w:val="20"/>
                <w:szCs w:val="20"/>
              </w:rPr>
            </w:pPr>
            <w:r w:rsidRPr="00860921">
              <w:rPr>
                <w:rFonts w:cs="Arial"/>
                <w:bCs/>
                <w:color w:val="000000" w:themeColor="text1"/>
                <w:sz w:val="20"/>
                <w:szCs w:val="20"/>
              </w:rPr>
              <w:t>disposizioni normative che impongono la pubblicazione</w:t>
            </w:r>
          </w:p>
        </w:tc>
      </w:tr>
      <w:tr w:rsidR="004F2BBB" w:rsidRPr="00860921" w14:paraId="2B3C40B9" w14:textId="77777777" w:rsidTr="00B02132">
        <w:trPr>
          <w:jc w:val="center"/>
        </w:trPr>
        <w:tc>
          <w:tcPr>
            <w:cnfStyle w:val="001000000000" w:firstRow="0" w:lastRow="0" w:firstColumn="1" w:lastColumn="0" w:oddVBand="0" w:evenVBand="0" w:oddHBand="0" w:evenHBand="0" w:firstRowFirstColumn="0" w:firstRowLastColumn="0" w:lastRowFirstColumn="0" w:lastRowLastColumn="0"/>
            <w:tcW w:w="1283" w:type="dxa"/>
          </w:tcPr>
          <w:p w14:paraId="37BE7CDB" w14:textId="7579A02E" w:rsidR="00767BC7" w:rsidRPr="00860921" w:rsidRDefault="004F2BBB" w:rsidP="00860921">
            <w:pPr>
              <w:jc w:val="center"/>
              <w:rPr>
                <w:rFonts w:cs="Arial"/>
                <w:bCs w:val="0"/>
                <w:color w:val="000000" w:themeColor="text1"/>
                <w:sz w:val="20"/>
                <w:szCs w:val="20"/>
              </w:rPr>
            </w:pPr>
            <w:r w:rsidRPr="00860921">
              <w:rPr>
                <w:rFonts w:cs="Arial"/>
                <w:bCs w:val="0"/>
                <w:color w:val="000000" w:themeColor="text1"/>
                <w:sz w:val="20"/>
                <w:szCs w:val="20"/>
              </w:rPr>
              <w:t>D</w:t>
            </w:r>
          </w:p>
        </w:tc>
        <w:tc>
          <w:tcPr>
            <w:tcW w:w="6905" w:type="dxa"/>
          </w:tcPr>
          <w:p w14:paraId="21C8B108" w14:textId="570EE5F3" w:rsidR="00767BC7" w:rsidRPr="00860921" w:rsidRDefault="004F2BBB" w:rsidP="00860921">
            <w:pPr>
              <w:jc w:val="center"/>
              <w:cnfStyle w:val="000000000000" w:firstRow="0" w:lastRow="0" w:firstColumn="0" w:lastColumn="0" w:oddVBand="0" w:evenVBand="0" w:oddHBand="0" w:evenHBand="0" w:firstRowFirstColumn="0" w:firstRowLastColumn="0" w:lastRowFirstColumn="0" w:lastRowLastColumn="0"/>
              <w:rPr>
                <w:rFonts w:cs="Arial"/>
                <w:bCs/>
                <w:color w:val="000000" w:themeColor="text1"/>
                <w:sz w:val="20"/>
                <w:szCs w:val="20"/>
              </w:rPr>
            </w:pPr>
            <w:r w:rsidRPr="00860921">
              <w:rPr>
                <w:rFonts w:cs="Arial"/>
                <w:bCs/>
                <w:color w:val="000000" w:themeColor="text1"/>
                <w:sz w:val="20"/>
                <w:szCs w:val="20"/>
              </w:rPr>
              <w:t>denominazione del singolo obbligo di pubblicazione</w:t>
            </w:r>
          </w:p>
        </w:tc>
      </w:tr>
      <w:tr w:rsidR="004F2BBB" w:rsidRPr="00860921" w14:paraId="7354909B" w14:textId="77777777" w:rsidTr="00B021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tcPr>
          <w:p w14:paraId="418BB141" w14:textId="5602EB36" w:rsidR="00767BC7" w:rsidRPr="00860921" w:rsidRDefault="004F2BBB" w:rsidP="00860921">
            <w:pPr>
              <w:jc w:val="center"/>
              <w:rPr>
                <w:rFonts w:cs="Arial"/>
                <w:bCs w:val="0"/>
                <w:color w:val="000000" w:themeColor="text1"/>
                <w:sz w:val="20"/>
                <w:szCs w:val="20"/>
              </w:rPr>
            </w:pPr>
            <w:r w:rsidRPr="00860921">
              <w:rPr>
                <w:rFonts w:cs="Arial"/>
                <w:bCs w:val="0"/>
                <w:color w:val="000000" w:themeColor="text1"/>
                <w:sz w:val="20"/>
                <w:szCs w:val="20"/>
              </w:rPr>
              <w:t>E</w:t>
            </w:r>
          </w:p>
        </w:tc>
        <w:tc>
          <w:tcPr>
            <w:tcW w:w="6905" w:type="dxa"/>
          </w:tcPr>
          <w:p w14:paraId="271BDF5C" w14:textId="200C7EAF" w:rsidR="00767BC7" w:rsidRPr="00860921" w:rsidRDefault="004F2BBB" w:rsidP="00860921">
            <w:pPr>
              <w:jc w:val="center"/>
              <w:cnfStyle w:val="000000100000" w:firstRow="0" w:lastRow="0" w:firstColumn="0" w:lastColumn="0" w:oddVBand="0" w:evenVBand="0" w:oddHBand="1" w:evenHBand="0" w:firstRowFirstColumn="0" w:firstRowLastColumn="0" w:lastRowFirstColumn="0" w:lastRowLastColumn="0"/>
              <w:rPr>
                <w:rFonts w:cs="Arial"/>
                <w:bCs/>
                <w:color w:val="000000" w:themeColor="text1"/>
                <w:sz w:val="20"/>
                <w:szCs w:val="20"/>
              </w:rPr>
            </w:pPr>
            <w:r w:rsidRPr="00860921">
              <w:rPr>
                <w:rFonts w:cs="Arial"/>
                <w:bCs/>
                <w:color w:val="000000" w:themeColor="text1"/>
                <w:sz w:val="20"/>
                <w:szCs w:val="20"/>
              </w:rPr>
              <w:t xml:space="preserve">contenuti dell’obbligo (documenti, dati e informazioni da pubblicare in ciascuna </w:t>
            </w:r>
            <w:r w:rsidR="00D47973" w:rsidRPr="00860921">
              <w:rPr>
                <w:rFonts w:cs="Arial"/>
                <w:bCs/>
                <w:color w:val="000000" w:themeColor="text1"/>
                <w:sz w:val="20"/>
                <w:szCs w:val="20"/>
              </w:rPr>
              <w:t>sottosezione</w:t>
            </w:r>
            <w:r w:rsidRPr="00860921">
              <w:rPr>
                <w:rFonts w:cs="Arial"/>
                <w:bCs/>
                <w:color w:val="000000" w:themeColor="text1"/>
                <w:sz w:val="20"/>
                <w:szCs w:val="20"/>
              </w:rPr>
              <w:t xml:space="preserve"> secondo le linee guida di ANAC);</w:t>
            </w:r>
          </w:p>
        </w:tc>
      </w:tr>
      <w:tr w:rsidR="00087FD1" w:rsidRPr="00087FD1" w14:paraId="2CCE282E" w14:textId="77777777" w:rsidTr="00B02132">
        <w:trPr>
          <w:jc w:val="center"/>
        </w:trPr>
        <w:tc>
          <w:tcPr>
            <w:cnfStyle w:val="001000000000" w:firstRow="0" w:lastRow="0" w:firstColumn="1" w:lastColumn="0" w:oddVBand="0" w:evenVBand="0" w:oddHBand="0" w:evenHBand="0" w:firstRowFirstColumn="0" w:firstRowLastColumn="0" w:lastRowFirstColumn="0" w:lastRowLastColumn="0"/>
            <w:tcW w:w="1283" w:type="dxa"/>
          </w:tcPr>
          <w:p w14:paraId="0E3C6F64" w14:textId="78166401" w:rsidR="00767BC7" w:rsidRPr="00087FD1" w:rsidRDefault="004F2BBB" w:rsidP="00860921">
            <w:pPr>
              <w:jc w:val="center"/>
              <w:rPr>
                <w:rFonts w:cs="Arial"/>
                <w:bCs w:val="0"/>
                <w:sz w:val="20"/>
                <w:szCs w:val="20"/>
              </w:rPr>
            </w:pPr>
            <w:r w:rsidRPr="00087FD1">
              <w:rPr>
                <w:rFonts w:cs="Arial"/>
                <w:bCs w:val="0"/>
                <w:sz w:val="20"/>
                <w:szCs w:val="20"/>
              </w:rPr>
              <w:t>F (*)</w:t>
            </w:r>
          </w:p>
        </w:tc>
        <w:tc>
          <w:tcPr>
            <w:tcW w:w="6905" w:type="dxa"/>
          </w:tcPr>
          <w:p w14:paraId="3F8A0427" w14:textId="48BA18C9" w:rsidR="00767BC7" w:rsidRPr="00087FD1" w:rsidRDefault="004F2BBB" w:rsidP="00860921">
            <w:pPr>
              <w:jc w:val="center"/>
              <w:cnfStyle w:val="000000000000" w:firstRow="0" w:lastRow="0" w:firstColumn="0" w:lastColumn="0" w:oddVBand="0" w:evenVBand="0" w:oddHBand="0" w:evenHBand="0" w:firstRowFirstColumn="0" w:firstRowLastColumn="0" w:lastRowFirstColumn="0" w:lastRowLastColumn="0"/>
              <w:rPr>
                <w:rFonts w:cs="Arial"/>
                <w:bCs/>
                <w:sz w:val="20"/>
                <w:szCs w:val="20"/>
              </w:rPr>
            </w:pPr>
            <w:r w:rsidRPr="00087FD1">
              <w:rPr>
                <w:rFonts w:cs="Arial"/>
                <w:bCs/>
                <w:sz w:val="20"/>
                <w:szCs w:val="20"/>
              </w:rPr>
              <w:t>periodicità di aggiornamento delle pubblicazioni;</w:t>
            </w:r>
          </w:p>
        </w:tc>
      </w:tr>
      <w:tr w:rsidR="00087FD1" w:rsidRPr="00087FD1" w14:paraId="0F309FAC" w14:textId="77777777" w:rsidTr="00B021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tcPr>
          <w:p w14:paraId="7BE848A5" w14:textId="7F7EC838" w:rsidR="00767BC7" w:rsidRPr="00087FD1" w:rsidRDefault="004F2BBB" w:rsidP="00860921">
            <w:pPr>
              <w:jc w:val="center"/>
              <w:rPr>
                <w:rFonts w:cs="Arial"/>
                <w:bCs w:val="0"/>
                <w:sz w:val="20"/>
                <w:szCs w:val="20"/>
              </w:rPr>
            </w:pPr>
            <w:r w:rsidRPr="00087FD1">
              <w:rPr>
                <w:rFonts w:cs="Arial"/>
                <w:bCs w:val="0"/>
                <w:sz w:val="20"/>
                <w:szCs w:val="20"/>
              </w:rPr>
              <w:t>G (**)</w:t>
            </w:r>
          </w:p>
        </w:tc>
        <w:tc>
          <w:tcPr>
            <w:tcW w:w="6905" w:type="dxa"/>
          </w:tcPr>
          <w:p w14:paraId="1937DD47" w14:textId="542A326F" w:rsidR="00767BC7" w:rsidRPr="00087FD1" w:rsidRDefault="004F2BBB" w:rsidP="00860921">
            <w:pPr>
              <w:jc w:val="center"/>
              <w:cnfStyle w:val="000000100000" w:firstRow="0" w:lastRow="0" w:firstColumn="0" w:lastColumn="0" w:oddVBand="0" w:evenVBand="0" w:oddHBand="1" w:evenHBand="0" w:firstRowFirstColumn="0" w:firstRowLastColumn="0" w:lastRowFirstColumn="0" w:lastRowLastColumn="0"/>
              <w:rPr>
                <w:rFonts w:cs="Arial"/>
                <w:bCs/>
                <w:sz w:val="20"/>
                <w:szCs w:val="20"/>
              </w:rPr>
            </w:pPr>
            <w:r w:rsidRPr="00087FD1">
              <w:rPr>
                <w:rFonts w:cs="Arial"/>
                <w:bCs/>
                <w:sz w:val="20"/>
                <w:szCs w:val="20"/>
              </w:rPr>
              <w:t>ufficio responsabile della pubblicazione dei dati, delle informazioni e dei documenti previsti nella colonna E secondo la periodicità prevista in colonna F.</w:t>
            </w:r>
          </w:p>
        </w:tc>
      </w:tr>
    </w:tbl>
    <w:p w14:paraId="04BF3D1F" w14:textId="77777777" w:rsidR="0018164F" w:rsidRPr="00860921" w:rsidRDefault="0018164F" w:rsidP="00860921">
      <w:pPr>
        <w:rPr>
          <w:rFonts w:cs="Arial"/>
          <w:bCs/>
          <w:color w:val="000000" w:themeColor="text1"/>
          <w:sz w:val="24"/>
          <w:szCs w:val="24"/>
        </w:rPr>
      </w:pPr>
    </w:p>
    <w:p w14:paraId="4A9CF4F8" w14:textId="77777777" w:rsidR="00087FD1" w:rsidRPr="007A0CCC" w:rsidRDefault="00087FD1" w:rsidP="00087FD1">
      <w:pPr>
        <w:rPr>
          <w:rFonts w:cs="Times New Roman"/>
          <w:bCs/>
        </w:rPr>
      </w:pPr>
      <w:r w:rsidRPr="007A0CCC">
        <w:rPr>
          <w:rFonts w:cs="Times New Roman"/>
          <w:bCs/>
        </w:rPr>
        <w:t xml:space="preserve">(*) Nota ai dati della Colonna F: </w:t>
      </w:r>
    </w:p>
    <w:p w14:paraId="026EB0B5" w14:textId="77777777" w:rsidR="00087FD1" w:rsidRPr="007A0CCC" w:rsidRDefault="00087FD1" w:rsidP="00087FD1">
      <w:pPr>
        <w:rPr>
          <w:rFonts w:cs="Times New Roman"/>
          <w:bCs/>
        </w:rPr>
      </w:pPr>
      <w:r w:rsidRPr="007A0CCC">
        <w:rPr>
          <w:rFonts w:cs="Times New Roman"/>
          <w:bCs/>
        </w:rPr>
        <w:lastRenderedPageBreak/>
        <w:t xml:space="preserve">la normativa impone scadenze temporali diverse per l’aggiornamento delle diverse tipologie di informazioni e documenti. </w:t>
      </w:r>
    </w:p>
    <w:p w14:paraId="6B7DB55E" w14:textId="77777777" w:rsidR="00087FD1" w:rsidRPr="007A0CCC" w:rsidRDefault="00087FD1" w:rsidP="00087FD1">
      <w:pPr>
        <w:rPr>
          <w:rFonts w:cs="Times New Roman"/>
          <w:bCs/>
        </w:rPr>
      </w:pPr>
      <w:r w:rsidRPr="007A0CCC">
        <w:rPr>
          <w:rFonts w:cs="Times New Roman"/>
          <w:bCs/>
        </w:rPr>
        <w:t xml:space="preserve">L’aggiornamento delle pagine web di “Amministrazione trasparente” può avvenire “tempestivamente”, oppure su base annuale, trimestrale o semestrale. </w:t>
      </w:r>
    </w:p>
    <w:p w14:paraId="50A3B808" w14:textId="77777777" w:rsidR="00087FD1" w:rsidRPr="007A0CCC" w:rsidRDefault="00087FD1" w:rsidP="00087FD1">
      <w:pPr>
        <w:rPr>
          <w:rFonts w:cs="Times New Roman"/>
          <w:bCs/>
        </w:rPr>
      </w:pPr>
      <w:r w:rsidRPr="007A0CCC">
        <w:rPr>
          <w:rFonts w:cs="Times New Roman"/>
          <w:bCs/>
        </w:rPr>
        <w:t xml:space="preserve">L’aggiornamento di numerosi dati deve avvenire “tempestivamente”. Il legislatore, però, non ha specificato il concetto di tempestività, concetto relativo che può dar luogo a comportamenti anche molto difformi. </w:t>
      </w:r>
    </w:p>
    <w:p w14:paraId="33D7F66E" w14:textId="77777777" w:rsidR="00087FD1" w:rsidRPr="007A0CCC" w:rsidRDefault="00087FD1" w:rsidP="00087FD1">
      <w:pPr>
        <w:rPr>
          <w:rFonts w:cs="Times New Roman"/>
          <w:bCs/>
        </w:rPr>
      </w:pPr>
      <w:r w:rsidRPr="007A0CCC">
        <w:rPr>
          <w:rFonts w:cs="Times New Roman"/>
          <w:bCs/>
        </w:rPr>
        <w:t>Pertanto, al fine di “rendere oggettivo” il concetto di tempestività, tutelando operatori, cittadini e amministrazione, si definisce quanto segue:</w:t>
      </w:r>
    </w:p>
    <w:p w14:paraId="7F15A689" w14:textId="77777777" w:rsidR="00087FD1" w:rsidRPr="007A0CCC" w:rsidRDefault="00087FD1" w:rsidP="00087FD1">
      <w:pPr>
        <w:rPr>
          <w:rFonts w:cs="Times New Roman"/>
          <w:bCs/>
        </w:rPr>
      </w:pPr>
      <w:r w:rsidRPr="007A0CCC">
        <w:rPr>
          <w:rFonts w:cs="Times New Roman"/>
          <w:bCs/>
        </w:rPr>
        <w:t xml:space="preserve">è tempestiva la pubblicazione di dati, informazioni e documenti quando effettuata entro </w:t>
      </w:r>
      <w:r>
        <w:rPr>
          <w:rFonts w:cs="Times New Roman"/>
          <w:bCs/>
        </w:rPr>
        <w:t>trenta</w:t>
      </w:r>
      <w:r w:rsidRPr="007A0CCC">
        <w:rPr>
          <w:rFonts w:cs="Times New Roman"/>
          <w:bCs/>
        </w:rPr>
        <w:t xml:space="preserve"> giorni dalla disponibilità definitiva dei dati, informazioni e documenti.</w:t>
      </w:r>
    </w:p>
    <w:p w14:paraId="7CA2C808" w14:textId="77777777" w:rsidR="00087FD1" w:rsidRPr="007A0CCC" w:rsidRDefault="00087FD1" w:rsidP="00087FD1">
      <w:pPr>
        <w:rPr>
          <w:rFonts w:cs="Times New Roman"/>
          <w:bCs/>
        </w:rPr>
      </w:pPr>
    </w:p>
    <w:p w14:paraId="0BE0DB43" w14:textId="77777777" w:rsidR="00087FD1" w:rsidRPr="007A0CCC" w:rsidRDefault="00087FD1" w:rsidP="00087FD1">
      <w:pPr>
        <w:rPr>
          <w:rFonts w:cs="Times New Roman"/>
          <w:bCs/>
        </w:rPr>
      </w:pPr>
      <w:r w:rsidRPr="007A0CCC">
        <w:rPr>
          <w:rFonts w:cs="Times New Roman"/>
          <w:bCs/>
        </w:rPr>
        <w:t xml:space="preserve">(**) Nota ai dati della Colonna G: </w:t>
      </w:r>
    </w:p>
    <w:p w14:paraId="4C4852A9" w14:textId="77777777" w:rsidR="00087FD1" w:rsidRPr="007A0CCC" w:rsidRDefault="00087FD1" w:rsidP="00087FD1">
      <w:pPr>
        <w:rPr>
          <w:rFonts w:cs="Times New Roman"/>
          <w:bCs/>
        </w:rPr>
      </w:pPr>
      <w:r w:rsidRPr="007A0CCC">
        <w:rPr>
          <w:rFonts w:cs="Times New Roman"/>
          <w:bCs/>
        </w:rPr>
        <w:t>L'art. 43 comma 3 del d.lgs. 33/2013 prevede che “</w:t>
      </w:r>
      <w:r w:rsidRPr="0033180B">
        <w:rPr>
          <w:rFonts w:cs="Times New Roman"/>
          <w:bCs/>
          <w:i/>
          <w:iCs/>
        </w:rPr>
        <w:t>i dirigenti responsabili degli uffici dell’amministrazione garantiscano il tempestivo e regolare flusso delle informazioni da pubblicare ai fini del rispetto dei termini stabiliti dalla legge</w:t>
      </w:r>
      <w:r w:rsidRPr="007A0CCC">
        <w:rPr>
          <w:rFonts w:cs="Times New Roman"/>
          <w:bCs/>
        </w:rPr>
        <w:t xml:space="preserve">”. </w:t>
      </w:r>
    </w:p>
    <w:p w14:paraId="0D97F583" w14:textId="7996BB76" w:rsidR="00087FD1" w:rsidRPr="007A0CCC" w:rsidRDefault="00087FD1" w:rsidP="00087FD1">
      <w:pPr>
        <w:rPr>
          <w:rFonts w:cs="Times New Roman"/>
          <w:bCs/>
        </w:rPr>
      </w:pPr>
      <w:r w:rsidRPr="007A0CCC">
        <w:rPr>
          <w:rFonts w:cs="Times New Roman"/>
          <w:bCs/>
        </w:rPr>
        <w:t xml:space="preserve">I dirigenti responsabili della trasmissione dei dati sono individuati nei Responsabili dei settori indicati nella colonna G. </w:t>
      </w:r>
    </w:p>
    <w:p w14:paraId="19B26D72" w14:textId="0C8699F8" w:rsidR="00087FD1" w:rsidRPr="007A0CCC" w:rsidRDefault="00087FD1" w:rsidP="00087FD1">
      <w:pPr>
        <w:rPr>
          <w:rFonts w:cs="Times New Roman"/>
          <w:bCs/>
        </w:rPr>
      </w:pPr>
      <w:r w:rsidRPr="007A0CCC">
        <w:rPr>
          <w:rFonts w:cs="Times New Roman"/>
          <w:bCs/>
        </w:rPr>
        <w:t>I responsabili della pubblicazione e dell’aggiornamento dei dati sono individuati nei Responsabili dei se</w:t>
      </w:r>
      <w:r>
        <w:rPr>
          <w:rFonts w:cs="Times New Roman"/>
          <w:bCs/>
        </w:rPr>
        <w:t>rvizi</w:t>
      </w:r>
      <w:r w:rsidRPr="007A0CCC">
        <w:rPr>
          <w:rFonts w:cs="Times New Roman"/>
          <w:bCs/>
        </w:rPr>
        <w:t xml:space="preserve"> indicati nella colonna G. </w:t>
      </w:r>
    </w:p>
    <w:p w14:paraId="569F3712" w14:textId="77777777" w:rsidR="00F24A7F" w:rsidRDefault="00F24A7F" w:rsidP="00F24A7F">
      <w:pPr>
        <w:rPr>
          <w:rFonts w:cs="Times New Roman"/>
          <w:bCs/>
        </w:rPr>
      </w:pPr>
    </w:p>
    <w:p w14:paraId="35108ECC" w14:textId="77777777" w:rsidR="00F24A7F" w:rsidRDefault="00F24A7F" w:rsidP="00F24A7F">
      <w:pPr>
        <w:rPr>
          <w:rFonts w:cs="Times New Roman"/>
          <w:bCs/>
        </w:rPr>
      </w:pPr>
      <w:r>
        <w:rPr>
          <w:rFonts w:cs="Times New Roman"/>
          <w:bCs/>
        </w:rPr>
        <w:t xml:space="preserve">Nel PNA 2025 in consultazione, si evidenzia come l’ANAC ha messo a disposizione dei Comuni uno strumento di controllo della corretta strutturazione dell’albero della trasparenza disponibile all’indirizzo </w:t>
      </w:r>
      <w:hyperlink r:id="rId16" w:history="1">
        <w:r w:rsidRPr="00AE1B95">
          <w:rPr>
            <w:rStyle w:val="Collegamentoipertestuale"/>
            <w:rFonts w:cs="Times New Roman"/>
            <w:bCs/>
          </w:rPr>
          <w:t>https://trasparenzai.anticorr</w:t>
        </w:r>
        <w:r w:rsidRPr="00AE1B95">
          <w:rPr>
            <w:rStyle w:val="Collegamentoipertestuale"/>
            <w:rFonts w:cs="Times New Roman"/>
            <w:bCs/>
          </w:rPr>
          <w:t>u</w:t>
        </w:r>
        <w:r w:rsidRPr="00AE1B95">
          <w:rPr>
            <w:rStyle w:val="Collegamentoipertestuale"/>
            <w:rFonts w:cs="Times New Roman"/>
            <w:bCs/>
          </w:rPr>
          <w:t>zione.it</w:t>
        </w:r>
      </w:hyperlink>
    </w:p>
    <w:p w14:paraId="7218BFC8" w14:textId="77777777" w:rsidR="00A22B14" w:rsidRDefault="00A22B14" w:rsidP="00A22B14">
      <w:pPr>
        <w:rPr>
          <w:rFonts w:cs="Times New Roman"/>
          <w:bCs/>
        </w:rPr>
      </w:pPr>
      <w:r>
        <w:rPr>
          <w:rFonts w:cs="Times New Roman"/>
          <w:bCs/>
        </w:rPr>
        <w:t>Il controllo del 29.11.2025 ha dato esito positivo:</w:t>
      </w:r>
    </w:p>
    <w:p w14:paraId="3A825C75" w14:textId="77777777" w:rsidR="00A22B14" w:rsidRDefault="00A22B14" w:rsidP="00A22B14">
      <w:pPr>
        <w:rPr>
          <w:rFonts w:cs="Times New Roman"/>
          <w:bCs/>
        </w:rPr>
      </w:pPr>
    </w:p>
    <w:p w14:paraId="3621D7A3" w14:textId="77777777" w:rsidR="00A22B14" w:rsidRDefault="00A22B14" w:rsidP="00A22B14">
      <w:pPr>
        <w:jc w:val="center"/>
        <w:rPr>
          <w:rFonts w:cs="Times New Roman"/>
          <w:bCs/>
        </w:rPr>
      </w:pPr>
      <w:r w:rsidRPr="0068323B">
        <w:rPr>
          <w:rFonts w:cs="Times New Roman"/>
          <w:bCs/>
          <w:noProof/>
        </w:rPr>
        <w:drawing>
          <wp:inline distT="0" distB="0" distL="0" distR="0" wp14:anchorId="4B5A479B" wp14:editId="6179D268">
            <wp:extent cx="1669871" cy="1653540"/>
            <wp:effectExtent l="0" t="0" r="0" b="0"/>
            <wp:docPr id="11056774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77438" name=""/>
                    <pic:cNvPicPr/>
                  </pic:nvPicPr>
                  <pic:blipFill>
                    <a:blip r:embed="rId17"/>
                    <a:stretch>
                      <a:fillRect/>
                    </a:stretch>
                  </pic:blipFill>
                  <pic:spPr>
                    <a:xfrm>
                      <a:off x="0" y="0"/>
                      <a:ext cx="1675837" cy="1659447"/>
                    </a:xfrm>
                    <a:prstGeom prst="rect">
                      <a:avLst/>
                    </a:prstGeom>
                  </pic:spPr>
                </pic:pic>
              </a:graphicData>
            </a:graphic>
          </wp:inline>
        </w:drawing>
      </w:r>
    </w:p>
    <w:p w14:paraId="6434407E" w14:textId="77777777" w:rsidR="005E4B09" w:rsidRPr="00860921" w:rsidRDefault="005E4B09" w:rsidP="00860921">
      <w:pPr>
        <w:rPr>
          <w:rFonts w:cs="Arial"/>
          <w:bCs/>
          <w:color w:val="0F243E" w:themeColor="text2" w:themeShade="80"/>
          <w:sz w:val="24"/>
          <w:szCs w:val="24"/>
        </w:rPr>
      </w:pPr>
    </w:p>
    <w:p w14:paraId="439AFC96" w14:textId="021995C8" w:rsidR="005E4B09" w:rsidRPr="00860921" w:rsidRDefault="004F2BBB" w:rsidP="00087FD1">
      <w:pPr>
        <w:pStyle w:val="Titolo3"/>
      </w:pPr>
      <w:bookmarkStart w:id="121" w:name="_Toc87523814"/>
      <w:bookmarkStart w:id="122" w:name="_Toc97543265"/>
      <w:bookmarkStart w:id="123" w:name="_Toc150499250"/>
      <w:r w:rsidRPr="00860921">
        <w:t>L’o</w:t>
      </w:r>
      <w:r w:rsidR="005E4B09" w:rsidRPr="00860921">
        <w:t>rganizzazione</w:t>
      </w:r>
      <w:bookmarkEnd w:id="121"/>
      <w:r w:rsidR="005E4B09" w:rsidRPr="00860921">
        <w:rPr>
          <w:color w:val="000000" w:themeColor="text1"/>
        </w:rPr>
        <w:t xml:space="preserve"> </w:t>
      </w:r>
      <w:r w:rsidR="008E77F3" w:rsidRPr="00860921">
        <w:t>dell’attività di pubblicazione</w:t>
      </w:r>
      <w:bookmarkEnd w:id="122"/>
      <w:bookmarkEnd w:id="123"/>
    </w:p>
    <w:p w14:paraId="7FCE98E6" w14:textId="5DABDB83" w:rsidR="00087FD1" w:rsidRDefault="00087FD1" w:rsidP="00087FD1">
      <w:r>
        <w:t xml:space="preserve">Il referente per la trasparenza è il Segretario Comunale. L’ufficio preposto è </w:t>
      </w:r>
      <w:r w:rsidR="00216920">
        <w:t>l’Ufficio Segreteria</w:t>
      </w:r>
      <w:r>
        <w:t xml:space="preserve"> </w:t>
      </w:r>
      <w:r w:rsidR="00216920">
        <w:t xml:space="preserve">in collaborazione con il Segretario Comunale </w:t>
      </w:r>
      <w:r>
        <w:t xml:space="preserve">che chiede dati, informazioni e documenti agli altri </w:t>
      </w:r>
      <w:r w:rsidR="000763A9">
        <w:t>Uffici</w:t>
      </w:r>
      <w:r>
        <w:t xml:space="preserve"> per la corretta implementazione della sezione Amministrazione Trasparente, secondo la disciplina indicata in Colonna E. Il Responsabile anticorruzione e per la trasparenza</w:t>
      </w:r>
      <w:r w:rsidR="000763A9">
        <w:t xml:space="preserve"> nonché Segretario Comunale</w:t>
      </w:r>
      <w:r>
        <w:t>: coordina, sovrintende e verifica l’attività; accerta la tempestiva pubblicazione; assicura la completezza, la chiarezza e l'aggiornamento delle informazioni. Il responsabile per la prevenzione della corruzione e per la trasparenza svolge stabilmente attività di controllo sull'adempimento degli obblighi di pubblicazione, assicurando la completezza, la chiarezza e l'aggiornamento delle informazioni pubblicate, nonché segnalando all'organo di indirizzo politico, al Nucleo di Valutazione</w:t>
      </w:r>
      <w:r w:rsidR="00CA5A5E">
        <w:t xml:space="preserve"> </w:t>
      </w:r>
      <w:r>
        <w:t>(NDV), all'Autorità nazionale anticorruzione e, nei casi più gravi, all'ufficio di disciplina i casi di mancato o ritardato adempimento degli obblighi di pubblicazione. L’ente rispetta con puntualità le prescrizioni dei decreti legislativi 33/2013 e 97/2016.</w:t>
      </w:r>
      <w:r w:rsidR="00216920">
        <w:t xml:space="preserve"> </w:t>
      </w:r>
      <w:r>
        <w:t>L’ente assicura conoscibilità ed accessibilità a dati, documenti e informazioni elencati dal legislatore e precisati dall’ANAC. Le limitate risorse dell’ente non consentono l’attivazione di strumenti di rilevazione circa “l’effettivo utilizzo dei dati” pubblicati. Tali rilevazioni, in ogni caso, non sono di alcuna utilità per l’ente, obbligato comunque a pubblicare i documenti previsti dalla legge.</w:t>
      </w:r>
    </w:p>
    <w:p w14:paraId="63D8372D" w14:textId="77777777" w:rsidR="005E4B09" w:rsidRPr="00860921" w:rsidRDefault="005E4B09" w:rsidP="00860921">
      <w:pPr>
        <w:rPr>
          <w:rFonts w:cs="Arial"/>
          <w:bCs/>
          <w:color w:val="0F243E" w:themeColor="text2" w:themeShade="80"/>
          <w:sz w:val="24"/>
          <w:szCs w:val="24"/>
        </w:rPr>
      </w:pPr>
    </w:p>
    <w:p w14:paraId="78C99D39" w14:textId="49A0F3F5" w:rsidR="005E4B09" w:rsidRPr="00860921" w:rsidRDefault="008E77F3" w:rsidP="00087FD1">
      <w:pPr>
        <w:pStyle w:val="Titolo3"/>
      </w:pPr>
      <w:bookmarkStart w:id="124" w:name="_Toc437942571"/>
      <w:bookmarkStart w:id="125" w:name="_Toc87523815"/>
      <w:bookmarkStart w:id="126" w:name="_Toc97543266"/>
      <w:bookmarkStart w:id="127" w:name="_Toc150499251"/>
      <w:r w:rsidRPr="00860921">
        <w:lastRenderedPageBreak/>
        <w:t>La p</w:t>
      </w:r>
      <w:r w:rsidR="000F055E" w:rsidRPr="00860921">
        <w:t>ubblicazione di d</w:t>
      </w:r>
      <w:r w:rsidR="005E4B09" w:rsidRPr="00860921">
        <w:t>ati ulteriori</w:t>
      </w:r>
      <w:bookmarkEnd w:id="124"/>
      <w:bookmarkEnd w:id="125"/>
      <w:bookmarkEnd w:id="126"/>
      <w:bookmarkEnd w:id="127"/>
    </w:p>
    <w:p w14:paraId="6E6232A9" w14:textId="77777777" w:rsidR="00087FD1" w:rsidRPr="007203B1" w:rsidRDefault="00087FD1" w:rsidP="00087FD1">
      <w:pPr>
        <w:rPr>
          <w:rFonts w:cs="Times New Roman"/>
          <w:bCs/>
        </w:rPr>
      </w:pPr>
      <w:r w:rsidRPr="0033180B">
        <w:rPr>
          <w:rFonts w:cs="Times New Roman"/>
          <w:bCs/>
        </w:rPr>
        <w:t xml:space="preserve">La pubblicazione puntuale e tempestiva dei dati e delle informazioni elencate dal legislatore è più che sufficiente per assicurare la trasparenza dell’azione </w:t>
      </w:r>
      <w:r w:rsidRPr="007203B1">
        <w:rPr>
          <w:rFonts w:cs="Times New Roman"/>
          <w:bCs/>
        </w:rPr>
        <w:t xml:space="preserve">amministrativa di questo ente.  </w:t>
      </w:r>
    </w:p>
    <w:p w14:paraId="483E726F" w14:textId="77777777" w:rsidR="00087FD1" w:rsidRPr="007203B1" w:rsidRDefault="00087FD1" w:rsidP="00087FD1">
      <w:pPr>
        <w:rPr>
          <w:rFonts w:cs="Times New Roman"/>
          <w:bCs/>
        </w:rPr>
      </w:pPr>
      <w:r w:rsidRPr="007203B1">
        <w:rPr>
          <w:rFonts w:cs="Times New Roman"/>
          <w:bCs/>
        </w:rPr>
        <w:t xml:space="preserve">Pertanto, non è prevista la pubblicazione di ulteriori informazioni. </w:t>
      </w:r>
    </w:p>
    <w:p w14:paraId="1256BD61" w14:textId="70DF35CD" w:rsidR="00692A68" w:rsidRDefault="00087FD1" w:rsidP="00087FD1">
      <w:pPr>
        <w:rPr>
          <w:rFonts w:cs="Arial"/>
          <w:color w:val="0F243E" w:themeColor="text2" w:themeShade="80"/>
          <w:sz w:val="24"/>
          <w:szCs w:val="24"/>
        </w:rPr>
      </w:pPr>
      <w:r w:rsidRPr="007203B1">
        <w:rPr>
          <w:rFonts w:cs="Times New Roman"/>
          <w:bCs/>
        </w:rPr>
        <w:t>In ogni caso, i Responsabili dei servizi indicati nella colonna G, possono</w:t>
      </w:r>
      <w:r w:rsidRPr="0033180B">
        <w:rPr>
          <w:rFonts w:cs="Times New Roman"/>
          <w:bCs/>
        </w:rPr>
        <w:t xml:space="preserve"> pubblicare i dati e le informazioni che ritengono necessari per assicurare la migliore trasparenza sostanziale dell’azione amministrativa.</w:t>
      </w:r>
      <w:bookmarkEnd w:id="117"/>
    </w:p>
    <w:p w14:paraId="6730E7D7" w14:textId="77777777" w:rsidR="00087FD1" w:rsidRPr="00860921" w:rsidRDefault="00087FD1" w:rsidP="00087FD1">
      <w:pPr>
        <w:rPr>
          <w:rFonts w:cs="Arial"/>
          <w:sz w:val="24"/>
          <w:szCs w:val="24"/>
        </w:rPr>
      </w:pPr>
    </w:p>
    <w:p w14:paraId="63833D98" w14:textId="530CC4B2" w:rsidR="002403BB" w:rsidRPr="00860921" w:rsidRDefault="00692A68" w:rsidP="00087FD1">
      <w:pPr>
        <w:pStyle w:val="Titolo1"/>
      </w:pPr>
      <w:bookmarkStart w:id="128" w:name="_Toc87523830"/>
      <w:bookmarkStart w:id="129" w:name="_Toc97543267"/>
      <w:bookmarkStart w:id="130" w:name="_Toc150499252"/>
      <w:r w:rsidRPr="00860921">
        <w:t>Il m</w:t>
      </w:r>
      <w:r w:rsidR="002403BB" w:rsidRPr="00860921">
        <w:t>onitor</w:t>
      </w:r>
      <w:r w:rsidR="00095B67" w:rsidRPr="00860921">
        <w:t xml:space="preserve">aggio </w:t>
      </w:r>
      <w:r w:rsidR="008E77F3" w:rsidRPr="00860921">
        <w:t>e il riesame delle misure</w:t>
      </w:r>
      <w:bookmarkEnd w:id="128"/>
      <w:bookmarkEnd w:id="129"/>
      <w:bookmarkEnd w:id="130"/>
    </w:p>
    <w:p w14:paraId="4D65F65F" w14:textId="54CA1DA6" w:rsidR="00587510" w:rsidRPr="00CD498E" w:rsidRDefault="00692A68" w:rsidP="00CD498E">
      <w:pPr>
        <w:rPr>
          <w:rFonts w:cs="Arial"/>
        </w:rPr>
      </w:pPr>
      <w:r w:rsidRPr="00CD498E">
        <w:rPr>
          <w:rFonts w:cs="Arial"/>
        </w:rPr>
        <w:t>I</w:t>
      </w:r>
      <w:r w:rsidR="00587510" w:rsidRPr="00CD498E">
        <w:rPr>
          <w:rFonts w:cs="Arial"/>
        </w:rPr>
        <w:t>l processo di prevenzione della corruzione</w:t>
      </w:r>
      <w:r w:rsidRPr="00CD498E">
        <w:rPr>
          <w:rFonts w:cs="Arial"/>
        </w:rPr>
        <w:t xml:space="preserve"> si articola in quattro macrofasi</w:t>
      </w:r>
      <w:r w:rsidR="00587510" w:rsidRPr="00CD498E">
        <w:rPr>
          <w:rFonts w:cs="Arial"/>
        </w:rPr>
        <w:t xml:space="preserve">: l’analisi del contesto; la valutazione del rischio; il trattamento; infine, la </w:t>
      </w:r>
      <w:r w:rsidR="006C4E09" w:rsidRPr="00CD498E">
        <w:rPr>
          <w:rFonts w:cs="Arial"/>
        </w:rPr>
        <w:t>macro-fase</w:t>
      </w:r>
      <w:r w:rsidR="00587510" w:rsidRPr="00CD498E">
        <w:rPr>
          <w:rFonts w:cs="Arial"/>
        </w:rPr>
        <w:t xml:space="preserve"> del </w:t>
      </w:r>
      <w:r w:rsidR="00587510" w:rsidRPr="00CD498E">
        <w:rPr>
          <w:rFonts w:cs="Arial"/>
          <w:i/>
          <w:iCs/>
        </w:rPr>
        <w:t>monitoraggio</w:t>
      </w:r>
      <w:r w:rsidR="00587510" w:rsidRPr="00CD498E">
        <w:rPr>
          <w:rFonts w:cs="Arial"/>
        </w:rPr>
        <w:t xml:space="preserve"> e del </w:t>
      </w:r>
      <w:r w:rsidR="00587510" w:rsidRPr="00CD498E">
        <w:rPr>
          <w:rFonts w:cs="Arial"/>
          <w:i/>
          <w:iCs/>
        </w:rPr>
        <w:t>riesame</w:t>
      </w:r>
      <w:r w:rsidR="00587510" w:rsidRPr="00CD498E">
        <w:rPr>
          <w:rFonts w:cs="Arial"/>
        </w:rPr>
        <w:t xml:space="preserve"> delle singole misure e del sistema nel suo complesso.  </w:t>
      </w:r>
    </w:p>
    <w:p w14:paraId="24FEFE39" w14:textId="7EE70F53" w:rsidR="00587510" w:rsidRPr="00326B9F" w:rsidRDefault="00BF5CCF" w:rsidP="00CD498E">
      <w:pPr>
        <w:rPr>
          <w:rFonts w:cs="Arial"/>
        </w:rPr>
      </w:pPr>
      <w:r w:rsidRPr="00CD498E">
        <w:rPr>
          <w:rFonts w:cs="Arial"/>
        </w:rPr>
        <w:t>M</w:t>
      </w:r>
      <w:r w:rsidR="00587510" w:rsidRPr="00CD498E">
        <w:rPr>
          <w:rFonts w:cs="Arial"/>
        </w:rPr>
        <w:t xml:space="preserve">onitoraggio e riesame sono stadi essenziali dell’intero processo di gestione del rischio, che consentono di verificare attuazione e adeguatezza delle misure, nonché il complessivo funzionamento del processo consentendo, in tal modo, di apportare tempestivamente i correttivi </w:t>
      </w:r>
      <w:r w:rsidR="00587510" w:rsidRPr="00326B9F">
        <w:rPr>
          <w:rFonts w:cs="Arial"/>
        </w:rPr>
        <w:t xml:space="preserve">che si rendessero necessari. </w:t>
      </w:r>
    </w:p>
    <w:p w14:paraId="2E43D331" w14:textId="7F8C2C0D" w:rsidR="00587510" w:rsidRPr="00326B9F" w:rsidRDefault="006C4E09" w:rsidP="00CD498E">
      <w:pPr>
        <w:rPr>
          <w:rFonts w:cs="Arial"/>
        </w:rPr>
      </w:pPr>
      <w:r w:rsidRPr="00326B9F">
        <w:rPr>
          <w:rFonts w:cs="Arial"/>
        </w:rPr>
        <w:t>I</w:t>
      </w:r>
      <w:r w:rsidR="00587510" w:rsidRPr="00326B9F">
        <w:rPr>
          <w:rFonts w:cs="Arial"/>
        </w:rPr>
        <w:t xml:space="preserve">l </w:t>
      </w:r>
      <w:r w:rsidR="00587510" w:rsidRPr="00326B9F">
        <w:rPr>
          <w:rFonts w:cs="Arial"/>
          <w:b/>
          <w:bCs/>
        </w:rPr>
        <w:t>monitoraggio</w:t>
      </w:r>
      <w:r w:rsidR="00587510" w:rsidRPr="00326B9F">
        <w:rPr>
          <w:rFonts w:cs="Arial"/>
        </w:rPr>
        <w:t xml:space="preserve"> è l’attività continuativa di verifica dell’attuazione e dell’idoneità delle singole misure di trattamento del rischio; è ripartito in due</w:t>
      </w:r>
      <w:r w:rsidRPr="00326B9F">
        <w:rPr>
          <w:rFonts w:cs="Arial"/>
        </w:rPr>
        <w:t xml:space="preserve"> sottofasi</w:t>
      </w:r>
      <w:r w:rsidR="00587510" w:rsidRPr="00326B9F">
        <w:rPr>
          <w:rFonts w:cs="Arial"/>
        </w:rPr>
        <w:t>: 1- il monitoraggio dell’attuazione delle misure di trattamento del rischio; 2- il monitoraggio della idoneità delle misure di trattamento del rischio</w:t>
      </w:r>
      <w:r w:rsidRPr="00326B9F">
        <w:rPr>
          <w:rFonts w:cs="Arial"/>
        </w:rPr>
        <w:t xml:space="preserve">. </w:t>
      </w:r>
      <w:r w:rsidR="00587510" w:rsidRPr="00326B9F">
        <w:rPr>
          <w:rFonts w:cs="Arial"/>
        </w:rPr>
        <w:t xml:space="preserve"> </w:t>
      </w:r>
    </w:p>
    <w:p w14:paraId="7B09D809" w14:textId="00DBE4BF" w:rsidR="00587510" w:rsidRPr="00326B9F" w:rsidRDefault="006C4E09" w:rsidP="00CD498E">
      <w:pPr>
        <w:rPr>
          <w:rFonts w:cs="Arial"/>
        </w:rPr>
      </w:pPr>
      <w:r w:rsidRPr="00326B9F">
        <w:rPr>
          <w:rFonts w:cs="Arial"/>
        </w:rPr>
        <w:t>I</w:t>
      </w:r>
      <w:r w:rsidR="00587510" w:rsidRPr="00326B9F">
        <w:rPr>
          <w:rFonts w:cs="Arial"/>
        </w:rPr>
        <w:t xml:space="preserve">l </w:t>
      </w:r>
      <w:r w:rsidR="00587510" w:rsidRPr="00326B9F">
        <w:rPr>
          <w:rFonts w:cs="Arial"/>
          <w:b/>
          <w:bCs/>
        </w:rPr>
        <w:t>riesame</w:t>
      </w:r>
      <w:r w:rsidR="00587510" w:rsidRPr="00326B9F">
        <w:rPr>
          <w:rFonts w:cs="Arial"/>
        </w:rPr>
        <w:t>, invece, è l’attività svolta ad intervalli programmati che riguarda il funzionamento del sistema nel suo complesso (</w:t>
      </w:r>
      <w:r w:rsidRPr="00326B9F">
        <w:rPr>
          <w:rFonts w:cs="Arial"/>
        </w:rPr>
        <w:t xml:space="preserve">PNA 2019, </w:t>
      </w:r>
      <w:r w:rsidR="00587510" w:rsidRPr="00326B9F">
        <w:rPr>
          <w:rFonts w:cs="Arial"/>
        </w:rPr>
        <w:t xml:space="preserve">Allegato n. 1, pag. 46).  </w:t>
      </w:r>
    </w:p>
    <w:p w14:paraId="43B1DE49" w14:textId="77777777" w:rsidR="00587510" w:rsidRPr="00CD498E" w:rsidRDefault="00587510" w:rsidP="00CD498E">
      <w:pPr>
        <w:rPr>
          <w:rFonts w:cs="Arial"/>
        </w:rPr>
      </w:pPr>
      <w:r w:rsidRPr="00CD498E">
        <w:rPr>
          <w:rFonts w:cs="Arial"/>
        </w:rPr>
        <w:t>I risultati del monitoraggio devono essere utilizzati per svolgere il riesame periodico della funzionalità complessiva del sistema e delle politiche di contrasto della corruzione.</w:t>
      </w:r>
    </w:p>
    <w:p w14:paraId="263C8E34" w14:textId="77777777" w:rsidR="00CD498E" w:rsidRPr="00CD498E" w:rsidRDefault="00CD498E" w:rsidP="00CD498E">
      <w:pPr>
        <w:rPr>
          <w:rFonts w:cs="Arial"/>
        </w:rPr>
      </w:pPr>
      <w:r w:rsidRPr="00CD498E">
        <w:rPr>
          <w:rFonts w:cs="Arial"/>
        </w:rPr>
        <w:t xml:space="preserve">Il RPCT organizza e dirige il monitoraggio delle misure programmate ai paragrafi precedenti.  </w:t>
      </w:r>
    </w:p>
    <w:p w14:paraId="7C282CF1" w14:textId="2FDC5803" w:rsidR="00CD498E" w:rsidRPr="00CD498E" w:rsidRDefault="00CD498E" w:rsidP="00CD498E">
      <w:pPr>
        <w:rPr>
          <w:rFonts w:cs="Arial"/>
        </w:rPr>
      </w:pPr>
      <w:r w:rsidRPr="00CD498E">
        <w:rPr>
          <w:rFonts w:cs="Arial"/>
        </w:rPr>
        <w:t xml:space="preserve">Il monitoraggio circa l’applicazione del presente è svolto in autonomia dal RPCT con cadenza annuale, stante la modesta dimensione dell’Ente e dell’assenza di fatti corruttivi noti all’interno dell’organizzazione. Il monitoraggio coinvolgerà almeno il 30% </w:t>
      </w:r>
      <w:r w:rsidR="000763A9" w:rsidRPr="00CD498E">
        <w:rPr>
          <w:rFonts w:cs="Arial"/>
        </w:rPr>
        <w:t>dei processi</w:t>
      </w:r>
      <w:r w:rsidRPr="00CD498E">
        <w:rPr>
          <w:rFonts w:cs="Arial"/>
        </w:rPr>
        <w:t xml:space="preserve"> individuati, come suggerito dal PNA 2022.</w:t>
      </w:r>
    </w:p>
    <w:p w14:paraId="2C510167" w14:textId="77777777" w:rsidR="00CD498E" w:rsidRPr="00CD498E" w:rsidRDefault="00CD498E" w:rsidP="00CD498E">
      <w:pPr>
        <w:rPr>
          <w:rFonts w:cs="Arial"/>
        </w:rPr>
      </w:pPr>
      <w:r w:rsidRPr="00CD498E">
        <w:rPr>
          <w:rFonts w:cs="Arial"/>
        </w:rPr>
        <w:t xml:space="preserve">Ai fini del monitoraggio i responsabili sono tenuti a collaborare con il Responsabile della prevenzione della corruzione e forniscono ogni informazione che lo stesso ritenga utile.  </w:t>
      </w:r>
    </w:p>
    <w:p w14:paraId="2B003FCC" w14:textId="439C4B47" w:rsidR="002E20B6" w:rsidRPr="00860921" w:rsidRDefault="002E20B6" w:rsidP="00CD498E">
      <w:pPr>
        <w:pStyle w:val="Corpotesto"/>
        <w:jc w:val="both"/>
        <w:rPr>
          <w:color w:val="FF0000"/>
          <w:sz w:val="24"/>
        </w:rPr>
      </w:pPr>
    </w:p>
    <w:sectPr w:rsidR="002E20B6" w:rsidRPr="00860921" w:rsidSect="00860921">
      <w:pgSz w:w="11906" w:h="16838"/>
      <w:pgMar w:top="1417"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CF78" w14:textId="77777777" w:rsidR="0032310C" w:rsidRDefault="0032310C" w:rsidP="00DE0D4E">
      <w:r>
        <w:separator/>
      </w:r>
    </w:p>
  </w:endnote>
  <w:endnote w:type="continuationSeparator" w:id="0">
    <w:p w14:paraId="1B97D372" w14:textId="77777777" w:rsidR="0032310C" w:rsidRDefault="0032310C" w:rsidP="00DE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423C" w14:textId="77777777" w:rsidR="0032310C" w:rsidRDefault="0032310C" w:rsidP="00DE0D4E">
      <w:r>
        <w:separator/>
      </w:r>
    </w:p>
  </w:footnote>
  <w:footnote w:type="continuationSeparator" w:id="0">
    <w:p w14:paraId="0C7F1521" w14:textId="77777777" w:rsidR="0032310C" w:rsidRDefault="0032310C" w:rsidP="00DE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566"/>
    <w:multiLevelType w:val="hybridMultilevel"/>
    <w:tmpl w:val="5916065A"/>
    <w:lvl w:ilvl="0" w:tplc="C75838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044463"/>
    <w:multiLevelType w:val="hybridMultilevel"/>
    <w:tmpl w:val="6AC6C16C"/>
    <w:lvl w:ilvl="0" w:tplc="C638CE76">
      <w:start w:val="1"/>
      <w:numFmt w:val="bullet"/>
      <w:lvlText w:val="-"/>
      <w:lvlJc w:val="left"/>
      <w:pPr>
        <w:ind w:left="720" w:hanging="360"/>
      </w:pPr>
      <w:rPr>
        <w:rFonts w:ascii="Calibri" w:hAnsi="Calibri" w:hint="default"/>
      </w:rPr>
    </w:lvl>
    <w:lvl w:ilvl="1" w:tplc="23A4CE66">
      <w:start w:val="1"/>
      <w:numFmt w:val="bullet"/>
      <w:lvlText w:val="o"/>
      <w:lvlJc w:val="left"/>
      <w:pPr>
        <w:ind w:left="1440" w:hanging="360"/>
      </w:pPr>
      <w:rPr>
        <w:rFonts w:ascii="Courier New" w:hAnsi="Courier New" w:hint="default"/>
      </w:rPr>
    </w:lvl>
    <w:lvl w:ilvl="2" w:tplc="B374F89E">
      <w:start w:val="1"/>
      <w:numFmt w:val="bullet"/>
      <w:lvlText w:val=""/>
      <w:lvlJc w:val="left"/>
      <w:pPr>
        <w:ind w:left="2160" w:hanging="360"/>
      </w:pPr>
      <w:rPr>
        <w:rFonts w:ascii="Wingdings" w:hAnsi="Wingdings" w:hint="default"/>
      </w:rPr>
    </w:lvl>
    <w:lvl w:ilvl="3" w:tplc="88906670">
      <w:start w:val="1"/>
      <w:numFmt w:val="bullet"/>
      <w:lvlText w:val=""/>
      <w:lvlJc w:val="left"/>
      <w:pPr>
        <w:ind w:left="2880" w:hanging="360"/>
      </w:pPr>
      <w:rPr>
        <w:rFonts w:ascii="Symbol" w:hAnsi="Symbol" w:hint="default"/>
      </w:rPr>
    </w:lvl>
    <w:lvl w:ilvl="4" w:tplc="3C76CEB2">
      <w:start w:val="1"/>
      <w:numFmt w:val="bullet"/>
      <w:lvlText w:val="o"/>
      <w:lvlJc w:val="left"/>
      <w:pPr>
        <w:ind w:left="3600" w:hanging="360"/>
      </w:pPr>
      <w:rPr>
        <w:rFonts w:ascii="Courier New" w:hAnsi="Courier New" w:hint="default"/>
      </w:rPr>
    </w:lvl>
    <w:lvl w:ilvl="5" w:tplc="42844C96">
      <w:start w:val="1"/>
      <w:numFmt w:val="bullet"/>
      <w:lvlText w:val=""/>
      <w:lvlJc w:val="left"/>
      <w:pPr>
        <w:ind w:left="4320" w:hanging="360"/>
      </w:pPr>
      <w:rPr>
        <w:rFonts w:ascii="Wingdings" w:hAnsi="Wingdings" w:hint="default"/>
      </w:rPr>
    </w:lvl>
    <w:lvl w:ilvl="6" w:tplc="799CDEB0">
      <w:start w:val="1"/>
      <w:numFmt w:val="bullet"/>
      <w:lvlText w:val=""/>
      <w:lvlJc w:val="left"/>
      <w:pPr>
        <w:ind w:left="5040" w:hanging="360"/>
      </w:pPr>
      <w:rPr>
        <w:rFonts w:ascii="Symbol" w:hAnsi="Symbol" w:hint="default"/>
      </w:rPr>
    </w:lvl>
    <w:lvl w:ilvl="7" w:tplc="83F61E0C">
      <w:start w:val="1"/>
      <w:numFmt w:val="bullet"/>
      <w:lvlText w:val="o"/>
      <w:lvlJc w:val="left"/>
      <w:pPr>
        <w:ind w:left="5760" w:hanging="360"/>
      </w:pPr>
      <w:rPr>
        <w:rFonts w:ascii="Courier New" w:hAnsi="Courier New" w:hint="default"/>
      </w:rPr>
    </w:lvl>
    <w:lvl w:ilvl="8" w:tplc="18745C66">
      <w:start w:val="1"/>
      <w:numFmt w:val="bullet"/>
      <w:lvlText w:val=""/>
      <w:lvlJc w:val="left"/>
      <w:pPr>
        <w:ind w:left="6480" w:hanging="360"/>
      </w:pPr>
      <w:rPr>
        <w:rFonts w:ascii="Wingdings" w:hAnsi="Wingdings" w:hint="default"/>
      </w:rPr>
    </w:lvl>
  </w:abstractNum>
  <w:abstractNum w:abstractNumId="2" w15:restartNumberingAfterBreak="0">
    <w:nsid w:val="09D43F2D"/>
    <w:multiLevelType w:val="hybridMultilevel"/>
    <w:tmpl w:val="E2E0285A"/>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C39CC"/>
    <w:multiLevelType w:val="hybridMultilevel"/>
    <w:tmpl w:val="10E476E4"/>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BA086E"/>
    <w:multiLevelType w:val="hybridMultilevel"/>
    <w:tmpl w:val="3A82DFD0"/>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275007"/>
    <w:multiLevelType w:val="hybridMultilevel"/>
    <w:tmpl w:val="A69057F8"/>
    <w:lvl w:ilvl="0" w:tplc="DD2220E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714DC8"/>
    <w:multiLevelType w:val="multilevel"/>
    <w:tmpl w:val="588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B1778"/>
    <w:multiLevelType w:val="hybridMultilevel"/>
    <w:tmpl w:val="0D6C686A"/>
    <w:lvl w:ilvl="0" w:tplc="DD2220E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9D96030"/>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977CC"/>
    <w:multiLevelType w:val="hybridMultilevel"/>
    <w:tmpl w:val="3F3A12FA"/>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2871B1"/>
    <w:multiLevelType w:val="hybridMultilevel"/>
    <w:tmpl w:val="A84CF5F4"/>
    <w:lvl w:ilvl="0" w:tplc="D64CA1F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92174A"/>
    <w:multiLevelType w:val="hybridMultilevel"/>
    <w:tmpl w:val="53A2F2AC"/>
    <w:lvl w:ilvl="0" w:tplc="D6201A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E776846"/>
    <w:multiLevelType w:val="hybridMultilevel"/>
    <w:tmpl w:val="3B327DB0"/>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FCE5CF6"/>
    <w:multiLevelType w:val="multilevel"/>
    <w:tmpl w:val="4540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40689"/>
    <w:multiLevelType w:val="hybridMultilevel"/>
    <w:tmpl w:val="DB2E0BB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28D29BF"/>
    <w:multiLevelType w:val="multilevel"/>
    <w:tmpl w:val="EF24C012"/>
    <w:lvl w:ilvl="0">
      <w:start w:val="5"/>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40626ED"/>
    <w:multiLevelType w:val="hybridMultilevel"/>
    <w:tmpl w:val="0792B24A"/>
    <w:lvl w:ilvl="0" w:tplc="DD2220E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45A4983"/>
    <w:multiLevelType w:val="hybridMultilevel"/>
    <w:tmpl w:val="C382E73A"/>
    <w:lvl w:ilvl="0" w:tplc="77CC701E">
      <w:start w:val="1"/>
      <w:numFmt w:val="lowerLetter"/>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AD1C01"/>
    <w:multiLevelType w:val="hybridMultilevel"/>
    <w:tmpl w:val="324260EE"/>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185839"/>
    <w:multiLevelType w:val="hybridMultilevel"/>
    <w:tmpl w:val="73202F4A"/>
    <w:lvl w:ilvl="0" w:tplc="DD2220E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296D70B5"/>
    <w:multiLevelType w:val="hybridMultilevel"/>
    <w:tmpl w:val="7F0C8070"/>
    <w:lvl w:ilvl="0" w:tplc="D6201AC0">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233630"/>
    <w:multiLevelType w:val="hybridMultilevel"/>
    <w:tmpl w:val="3650F33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352100A6"/>
    <w:multiLevelType w:val="hybridMultilevel"/>
    <w:tmpl w:val="210C4F40"/>
    <w:lvl w:ilvl="0" w:tplc="DD2220E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3DCA2A02"/>
    <w:multiLevelType w:val="hybridMultilevel"/>
    <w:tmpl w:val="A962B2D0"/>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25A4441"/>
    <w:multiLevelType w:val="hybridMultilevel"/>
    <w:tmpl w:val="7CA2B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894C0B"/>
    <w:multiLevelType w:val="hybridMultilevel"/>
    <w:tmpl w:val="00A07A8C"/>
    <w:lvl w:ilvl="0" w:tplc="DD2220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4AF3FFE"/>
    <w:multiLevelType w:val="hybridMultilevel"/>
    <w:tmpl w:val="572CAF2C"/>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71A7F9C"/>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251932"/>
    <w:multiLevelType w:val="hybridMultilevel"/>
    <w:tmpl w:val="927E6EFE"/>
    <w:lvl w:ilvl="0" w:tplc="DD2220E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8358C14"/>
    <w:multiLevelType w:val="hybridMultilevel"/>
    <w:tmpl w:val="C9B0106A"/>
    <w:lvl w:ilvl="0" w:tplc="2668D2F4">
      <w:start w:val="1"/>
      <w:numFmt w:val="bullet"/>
      <w:lvlText w:val="-"/>
      <w:lvlJc w:val="left"/>
      <w:pPr>
        <w:ind w:left="720" w:hanging="360"/>
      </w:pPr>
      <w:rPr>
        <w:rFonts w:ascii="Calibri" w:hAnsi="Calibri" w:hint="default"/>
      </w:rPr>
    </w:lvl>
    <w:lvl w:ilvl="1" w:tplc="939E8F62">
      <w:start w:val="1"/>
      <w:numFmt w:val="bullet"/>
      <w:lvlText w:val="o"/>
      <w:lvlJc w:val="left"/>
      <w:pPr>
        <w:ind w:left="1440" w:hanging="360"/>
      </w:pPr>
      <w:rPr>
        <w:rFonts w:ascii="Courier New" w:hAnsi="Courier New" w:hint="default"/>
      </w:rPr>
    </w:lvl>
    <w:lvl w:ilvl="2" w:tplc="20CC7C90">
      <w:start w:val="1"/>
      <w:numFmt w:val="bullet"/>
      <w:lvlText w:val=""/>
      <w:lvlJc w:val="left"/>
      <w:pPr>
        <w:ind w:left="2160" w:hanging="360"/>
      </w:pPr>
      <w:rPr>
        <w:rFonts w:ascii="Wingdings" w:hAnsi="Wingdings" w:hint="default"/>
      </w:rPr>
    </w:lvl>
    <w:lvl w:ilvl="3" w:tplc="3030FDEE">
      <w:start w:val="1"/>
      <w:numFmt w:val="bullet"/>
      <w:lvlText w:val=""/>
      <w:lvlJc w:val="left"/>
      <w:pPr>
        <w:ind w:left="2880" w:hanging="360"/>
      </w:pPr>
      <w:rPr>
        <w:rFonts w:ascii="Symbol" w:hAnsi="Symbol" w:hint="default"/>
      </w:rPr>
    </w:lvl>
    <w:lvl w:ilvl="4" w:tplc="434E9A1E">
      <w:start w:val="1"/>
      <w:numFmt w:val="bullet"/>
      <w:lvlText w:val="o"/>
      <w:lvlJc w:val="left"/>
      <w:pPr>
        <w:ind w:left="3600" w:hanging="360"/>
      </w:pPr>
      <w:rPr>
        <w:rFonts w:ascii="Courier New" w:hAnsi="Courier New" w:hint="default"/>
      </w:rPr>
    </w:lvl>
    <w:lvl w:ilvl="5" w:tplc="0E0C306C">
      <w:start w:val="1"/>
      <w:numFmt w:val="bullet"/>
      <w:lvlText w:val=""/>
      <w:lvlJc w:val="left"/>
      <w:pPr>
        <w:ind w:left="4320" w:hanging="360"/>
      </w:pPr>
      <w:rPr>
        <w:rFonts w:ascii="Wingdings" w:hAnsi="Wingdings" w:hint="default"/>
      </w:rPr>
    </w:lvl>
    <w:lvl w:ilvl="6" w:tplc="EDEC2DE0">
      <w:start w:val="1"/>
      <w:numFmt w:val="bullet"/>
      <w:lvlText w:val=""/>
      <w:lvlJc w:val="left"/>
      <w:pPr>
        <w:ind w:left="5040" w:hanging="360"/>
      </w:pPr>
      <w:rPr>
        <w:rFonts w:ascii="Symbol" w:hAnsi="Symbol" w:hint="default"/>
      </w:rPr>
    </w:lvl>
    <w:lvl w:ilvl="7" w:tplc="63D0989E">
      <w:start w:val="1"/>
      <w:numFmt w:val="bullet"/>
      <w:lvlText w:val="o"/>
      <w:lvlJc w:val="left"/>
      <w:pPr>
        <w:ind w:left="5760" w:hanging="360"/>
      </w:pPr>
      <w:rPr>
        <w:rFonts w:ascii="Courier New" w:hAnsi="Courier New" w:hint="default"/>
      </w:rPr>
    </w:lvl>
    <w:lvl w:ilvl="8" w:tplc="80CCB852">
      <w:start w:val="1"/>
      <w:numFmt w:val="bullet"/>
      <w:lvlText w:val=""/>
      <w:lvlJc w:val="left"/>
      <w:pPr>
        <w:ind w:left="6480" w:hanging="360"/>
      </w:pPr>
      <w:rPr>
        <w:rFonts w:ascii="Wingdings" w:hAnsi="Wingdings" w:hint="default"/>
      </w:rPr>
    </w:lvl>
  </w:abstractNum>
  <w:abstractNum w:abstractNumId="30" w15:restartNumberingAfterBreak="0">
    <w:nsid w:val="4B216C2C"/>
    <w:multiLevelType w:val="hybridMultilevel"/>
    <w:tmpl w:val="5F6ACD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DFF7DA6"/>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332678F"/>
    <w:multiLevelType w:val="hybridMultilevel"/>
    <w:tmpl w:val="268ACD8E"/>
    <w:lvl w:ilvl="0" w:tplc="DD2220E8">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3" w15:restartNumberingAfterBreak="0">
    <w:nsid w:val="57186C62"/>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404CF"/>
    <w:multiLevelType w:val="hybridMultilevel"/>
    <w:tmpl w:val="6C86B7EE"/>
    <w:lvl w:ilvl="0" w:tplc="DD2220E8">
      <w:start w:val="1"/>
      <w:numFmt w:val="bullet"/>
      <w:lvlText w:val=""/>
      <w:lvlJc w:val="left"/>
      <w:pPr>
        <w:ind w:left="360" w:hanging="360"/>
      </w:pPr>
      <w:rPr>
        <w:rFonts w:ascii="Symbol" w:hAnsi="Symbol"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74F3192"/>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CECCA7"/>
    <w:multiLevelType w:val="hybridMultilevel"/>
    <w:tmpl w:val="5B146470"/>
    <w:lvl w:ilvl="0" w:tplc="99EEC63C">
      <w:start w:val="1"/>
      <w:numFmt w:val="bullet"/>
      <w:lvlText w:val="-"/>
      <w:lvlJc w:val="left"/>
      <w:pPr>
        <w:ind w:left="720" w:hanging="360"/>
      </w:pPr>
      <w:rPr>
        <w:rFonts w:ascii="Calibri" w:hAnsi="Calibri" w:hint="default"/>
      </w:rPr>
    </w:lvl>
    <w:lvl w:ilvl="1" w:tplc="A8E4B1B0">
      <w:start w:val="1"/>
      <w:numFmt w:val="bullet"/>
      <w:lvlText w:val="o"/>
      <w:lvlJc w:val="left"/>
      <w:pPr>
        <w:ind w:left="1440" w:hanging="360"/>
      </w:pPr>
      <w:rPr>
        <w:rFonts w:ascii="Courier New" w:hAnsi="Courier New" w:hint="default"/>
      </w:rPr>
    </w:lvl>
    <w:lvl w:ilvl="2" w:tplc="399229E0">
      <w:start w:val="1"/>
      <w:numFmt w:val="bullet"/>
      <w:lvlText w:val=""/>
      <w:lvlJc w:val="left"/>
      <w:pPr>
        <w:ind w:left="2160" w:hanging="360"/>
      </w:pPr>
      <w:rPr>
        <w:rFonts w:ascii="Wingdings" w:hAnsi="Wingdings" w:hint="default"/>
      </w:rPr>
    </w:lvl>
    <w:lvl w:ilvl="3" w:tplc="E6667244">
      <w:start w:val="1"/>
      <w:numFmt w:val="bullet"/>
      <w:lvlText w:val=""/>
      <w:lvlJc w:val="left"/>
      <w:pPr>
        <w:ind w:left="2880" w:hanging="360"/>
      </w:pPr>
      <w:rPr>
        <w:rFonts w:ascii="Symbol" w:hAnsi="Symbol" w:hint="default"/>
      </w:rPr>
    </w:lvl>
    <w:lvl w:ilvl="4" w:tplc="1876BD2C">
      <w:start w:val="1"/>
      <w:numFmt w:val="bullet"/>
      <w:lvlText w:val="o"/>
      <w:lvlJc w:val="left"/>
      <w:pPr>
        <w:ind w:left="3600" w:hanging="360"/>
      </w:pPr>
      <w:rPr>
        <w:rFonts w:ascii="Courier New" w:hAnsi="Courier New" w:hint="default"/>
      </w:rPr>
    </w:lvl>
    <w:lvl w:ilvl="5" w:tplc="B52CDEBE">
      <w:start w:val="1"/>
      <w:numFmt w:val="bullet"/>
      <w:lvlText w:val=""/>
      <w:lvlJc w:val="left"/>
      <w:pPr>
        <w:ind w:left="4320" w:hanging="360"/>
      </w:pPr>
      <w:rPr>
        <w:rFonts w:ascii="Wingdings" w:hAnsi="Wingdings" w:hint="default"/>
      </w:rPr>
    </w:lvl>
    <w:lvl w:ilvl="6" w:tplc="E1FACF42">
      <w:start w:val="1"/>
      <w:numFmt w:val="bullet"/>
      <w:lvlText w:val=""/>
      <w:lvlJc w:val="left"/>
      <w:pPr>
        <w:ind w:left="5040" w:hanging="360"/>
      </w:pPr>
      <w:rPr>
        <w:rFonts w:ascii="Symbol" w:hAnsi="Symbol" w:hint="default"/>
      </w:rPr>
    </w:lvl>
    <w:lvl w:ilvl="7" w:tplc="C8E23E10">
      <w:start w:val="1"/>
      <w:numFmt w:val="bullet"/>
      <w:lvlText w:val="o"/>
      <w:lvlJc w:val="left"/>
      <w:pPr>
        <w:ind w:left="5760" w:hanging="360"/>
      </w:pPr>
      <w:rPr>
        <w:rFonts w:ascii="Courier New" w:hAnsi="Courier New" w:hint="default"/>
      </w:rPr>
    </w:lvl>
    <w:lvl w:ilvl="8" w:tplc="75D2843E">
      <w:start w:val="1"/>
      <w:numFmt w:val="bullet"/>
      <w:lvlText w:val=""/>
      <w:lvlJc w:val="left"/>
      <w:pPr>
        <w:ind w:left="6480" w:hanging="360"/>
      </w:pPr>
      <w:rPr>
        <w:rFonts w:ascii="Wingdings" w:hAnsi="Wingdings" w:hint="default"/>
      </w:rPr>
    </w:lvl>
  </w:abstractNum>
  <w:abstractNum w:abstractNumId="37" w15:restartNumberingAfterBreak="0">
    <w:nsid w:val="5BA47258"/>
    <w:multiLevelType w:val="multilevel"/>
    <w:tmpl w:val="D138E6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372573"/>
    <w:multiLevelType w:val="hybridMultilevel"/>
    <w:tmpl w:val="C88EA5B6"/>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5F4769C0"/>
    <w:multiLevelType w:val="hybridMultilevel"/>
    <w:tmpl w:val="DC926744"/>
    <w:lvl w:ilvl="0" w:tplc="D6201AC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20D557E"/>
    <w:multiLevelType w:val="hybridMultilevel"/>
    <w:tmpl w:val="0DD62958"/>
    <w:lvl w:ilvl="0" w:tplc="8F682994">
      <w:start w:val="1"/>
      <w:numFmt w:val="lowerLetter"/>
      <w:lvlText w:val="%1)"/>
      <w:lvlJc w:val="left"/>
      <w:pPr>
        <w:ind w:left="360" w:hanging="360"/>
      </w:pPr>
      <w:rPr>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35878FA"/>
    <w:multiLevelType w:val="hybridMultilevel"/>
    <w:tmpl w:val="BA20D944"/>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4780EDF"/>
    <w:multiLevelType w:val="hybridMultilevel"/>
    <w:tmpl w:val="783C088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64AF48A6"/>
    <w:multiLevelType w:val="multilevel"/>
    <w:tmpl w:val="8C5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471EBF"/>
    <w:multiLevelType w:val="hybridMultilevel"/>
    <w:tmpl w:val="57D4C1E6"/>
    <w:lvl w:ilvl="0" w:tplc="DD2220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54D1876"/>
    <w:multiLevelType w:val="hybridMultilevel"/>
    <w:tmpl w:val="3ED86BAA"/>
    <w:lvl w:ilvl="0" w:tplc="DD2220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58A3E11"/>
    <w:multiLevelType w:val="multilevel"/>
    <w:tmpl w:val="F5BA6410"/>
    <w:lvl w:ilvl="0">
      <w:start w:val="4"/>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65A828F9"/>
    <w:multiLevelType w:val="hybridMultilevel"/>
    <w:tmpl w:val="F2B6ECBE"/>
    <w:lvl w:ilvl="0" w:tplc="E4F2AD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7502E2B"/>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A724AA"/>
    <w:multiLevelType w:val="hybridMultilevel"/>
    <w:tmpl w:val="6A42C570"/>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9482D1D"/>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C14E54"/>
    <w:multiLevelType w:val="hybridMultilevel"/>
    <w:tmpl w:val="5F7A4E2A"/>
    <w:lvl w:ilvl="0" w:tplc="DD2220E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15:restartNumberingAfterBreak="0">
    <w:nsid w:val="6A36649C"/>
    <w:multiLevelType w:val="hybridMultilevel"/>
    <w:tmpl w:val="EA80C918"/>
    <w:lvl w:ilvl="0" w:tplc="DD2220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BFE4A4E"/>
    <w:multiLevelType w:val="hybridMultilevel"/>
    <w:tmpl w:val="AC90BEE6"/>
    <w:lvl w:ilvl="0" w:tplc="DD2220E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4" w15:restartNumberingAfterBreak="0">
    <w:nsid w:val="6D3F677B"/>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B32FF5"/>
    <w:multiLevelType w:val="multilevel"/>
    <w:tmpl w:val="CFF0E89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6E381E98"/>
    <w:multiLevelType w:val="hybridMultilevel"/>
    <w:tmpl w:val="A69094FC"/>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F2531EF"/>
    <w:multiLevelType w:val="hybridMultilevel"/>
    <w:tmpl w:val="936E883A"/>
    <w:lvl w:ilvl="0" w:tplc="DD2220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15E275B"/>
    <w:multiLevelType w:val="hybridMultilevel"/>
    <w:tmpl w:val="86305904"/>
    <w:lvl w:ilvl="0" w:tplc="3FF0293E">
      <w:start w:val="1"/>
      <w:numFmt w:val="bullet"/>
      <w:lvlText w:val="-"/>
      <w:lvlJc w:val="left"/>
      <w:pPr>
        <w:ind w:left="720" w:hanging="360"/>
      </w:pPr>
      <w:rPr>
        <w:rFonts w:ascii="Calibri" w:hAnsi="Calibri" w:hint="default"/>
      </w:rPr>
    </w:lvl>
    <w:lvl w:ilvl="1" w:tplc="A3FC743A">
      <w:start w:val="1"/>
      <w:numFmt w:val="bullet"/>
      <w:lvlText w:val="o"/>
      <w:lvlJc w:val="left"/>
      <w:pPr>
        <w:ind w:left="1440" w:hanging="360"/>
      </w:pPr>
      <w:rPr>
        <w:rFonts w:ascii="Courier New" w:hAnsi="Courier New" w:hint="default"/>
      </w:rPr>
    </w:lvl>
    <w:lvl w:ilvl="2" w:tplc="70AA971C">
      <w:start w:val="1"/>
      <w:numFmt w:val="bullet"/>
      <w:lvlText w:val=""/>
      <w:lvlJc w:val="left"/>
      <w:pPr>
        <w:ind w:left="2160" w:hanging="360"/>
      </w:pPr>
      <w:rPr>
        <w:rFonts w:ascii="Wingdings" w:hAnsi="Wingdings" w:hint="default"/>
      </w:rPr>
    </w:lvl>
    <w:lvl w:ilvl="3" w:tplc="83B2C0B4">
      <w:start w:val="1"/>
      <w:numFmt w:val="bullet"/>
      <w:lvlText w:val=""/>
      <w:lvlJc w:val="left"/>
      <w:pPr>
        <w:ind w:left="2880" w:hanging="360"/>
      </w:pPr>
      <w:rPr>
        <w:rFonts w:ascii="Symbol" w:hAnsi="Symbol" w:hint="default"/>
      </w:rPr>
    </w:lvl>
    <w:lvl w:ilvl="4" w:tplc="42B44C48">
      <w:start w:val="1"/>
      <w:numFmt w:val="bullet"/>
      <w:lvlText w:val="o"/>
      <w:lvlJc w:val="left"/>
      <w:pPr>
        <w:ind w:left="3600" w:hanging="360"/>
      </w:pPr>
      <w:rPr>
        <w:rFonts w:ascii="Courier New" w:hAnsi="Courier New" w:hint="default"/>
      </w:rPr>
    </w:lvl>
    <w:lvl w:ilvl="5" w:tplc="CC8473D0">
      <w:start w:val="1"/>
      <w:numFmt w:val="bullet"/>
      <w:lvlText w:val=""/>
      <w:lvlJc w:val="left"/>
      <w:pPr>
        <w:ind w:left="4320" w:hanging="360"/>
      </w:pPr>
      <w:rPr>
        <w:rFonts w:ascii="Wingdings" w:hAnsi="Wingdings" w:hint="default"/>
      </w:rPr>
    </w:lvl>
    <w:lvl w:ilvl="6" w:tplc="88383C38">
      <w:start w:val="1"/>
      <w:numFmt w:val="bullet"/>
      <w:lvlText w:val=""/>
      <w:lvlJc w:val="left"/>
      <w:pPr>
        <w:ind w:left="5040" w:hanging="360"/>
      </w:pPr>
      <w:rPr>
        <w:rFonts w:ascii="Symbol" w:hAnsi="Symbol" w:hint="default"/>
      </w:rPr>
    </w:lvl>
    <w:lvl w:ilvl="7" w:tplc="8FD436BA">
      <w:start w:val="1"/>
      <w:numFmt w:val="bullet"/>
      <w:lvlText w:val="o"/>
      <w:lvlJc w:val="left"/>
      <w:pPr>
        <w:ind w:left="5760" w:hanging="360"/>
      </w:pPr>
      <w:rPr>
        <w:rFonts w:ascii="Courier New" w:hAnsi="Courier New" w:hint="default"/>
      </w:rPr>
    </w:lvl>
    <w:lvl w:ilvl="8" w:tplc="00F28B34">
      <w:start w:val="1"/>
      <w:numFmt w:val="bullet"/>
      <w:lvlText w:val=""/>
      <w:lvlJc w:val="left"/>
      <w:pPr>
        <w:ind w:left="6480" w:hanging="360"/>
      </w:pPr>
      <w:rPr>
        <w:rFonts w:ascii="Wingdings" w:hAnsi="Wingdings" w:hint="default"/>
      </w:rPr>
    </w:lvl>
  </w:abstractNum>
  <w:abstractNum w:abstractNumId="59" w15:restartNumberingAfterBreak="0">
    <w:nsid w:val="715E7822"/>
    <w:multiLevelType w:val="hybridMultilevel"/>
    <w:tmpl w:val="FACADD80"/>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1C15453"/>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AA2A92"/>
    <w:multiLevelType w:val="hybridMultilevel"/>
    <w:tmpl w:val="A35C7C0A"/>
    <w:lvl w:ilvl="0" w:tplc="D6201A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57675FA"/>
    <w:multiLevelType w:val="hybridMultilevel"/>
    <w:tmpl w:val="B5E822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6EB67BE"/>
    <w:multiLevelType w:val="hybridMultilevel"/>
    <w:tmpl w:val="7874820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71F2014"/>
    <w:multiLevelType w:val="multilevel"/>
    <w:tmpl w:val="288E314C"/>
    <w:lvl w:ilvl="0">
      <w:start w:val="1"/>
      <w:numFmt w:val="decimal"/>
      <w:lvlText w:val="%1."/>
      <w:lvlJc w:val="left"/>
      <w:pPr>
        <w:ind w:left="720" w:hanging="360"/>
      </w:pPr>
      <w:rPr>
        <w:rFonts w:hint="default"/>
      </w:rPr>
    </w:lvl>
    <w:lvl w:ilvl="1">
      <w:start w:val="1"/>
      <w:numFmt w:val="none"/>
      <w:isLgl/>
      <w:lvlText w:val="5.14.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78040B94"/>
    <w:multiLevelType w:val="hybridMultilevel"/>
    <w:tmpl w:val="B3EA89A0"/>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6" w15:restartNumberingAfterBreak="0">
    <w:nsid w:val="7A585B02"/>
    <w:multiLevelType w:val="hybridMultilevel"/>
    <w:tmpl w:val="402AEC58"/>
    <w:lvl w:ilvl="0" w:tplc="AF500A6A">
      <w:start w:val="1"/>
      <w:numFmt w:val="decimal"/>
      <w:lvlText w:val="%1."/>
      <w:lvlJc w:val="left"/>
      <w:pPr>
        <w:ind w:left="360" w:hanging="360"/>
      </w:pPr>
      <w:rPr>
        <w:rFonts w:ascii="Book Antiqua" w:hAnsi="Book Antiqua" w:cs="Arial MT" w:hint="default"/>
        <w:spacing w:val="-1"/>
        <w:w w:val="100"/>
        <w:sz w:val="18"/>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B6065DA"/>
    <w:multiLevelType w:val="hybridMultilevel"/>
    <w:tmpl w:val="2ED8830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15:restartNumberingAfterBreak="0">
    <w:nsid w:val="7B901F18"/>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521B58"/>
    <w:multiLevelType w:val="multilevel"/>
    <w:tmpl w:val="B17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275259">
    <w:abstractNumId w:val="31"/>
  </w:num>
  <w:num w:numId="2" w16cid:durableId="225534094">
    <w:abstractNumId w:val="67"/>
  </w:num>
  <w:num w:numId="3" w16cid:durableId="845829629">
    <w:abstractNumId w:val="12"/>
  </w:num>
  <w:num w:numId="4" w16cid:durableId="1004895373">
    <w:abstractNumId w:val="38"/>
  </w:num>
  <w:num w:numId="5" w16cid:durableId="183835780">
    <w:abstractNumId w:val="42"/>
  </w:num>
  <w:num w:numId="6" w16cid:durableId="171189245">
    <w:abstractNumId w:val="21"/>
  </w:num>
  <w:num w:numId="7" w16cid:durableId="1239710446">
    <w:abstractNumId w:val="66"/>
  </w:num>
  <w:num w:numId="8" w16cid:durableId="1836534206">
    <w:abstractNumId w:val="65"/>
  </w:num>
  <w:num w:numId="9" w16cid:durableId="1158425851">
    <w:abstractNumId w:val="26"/>
  </w:num>
  <w:num w:numId="10" w16cid:durableId="1031883970">
    <w:abstractNumId w:val="37"/>
  </w:num>
  <w:num w:numId="11" w16cid:durableId="1911500205">
    <w:abstractNumId w:val="40"/>
  </w:num>
  <w:num w:numId="12" w16cid:durableId="213271636">
    <w:abstractNumId w:val="55"/>
  </w:num>
  <w:num w:numId="13" w16cid:durableId="513885332">
    <w:abstractNumId w:val="46"/>
  </w:num>
  <w:num w:numId="14" w16cid:durableId="706612321">
    <w:abstractNumId w:val="15"/>
  </w:num>
  <w:num w:numId="15" w16cid:durableId="626815162">
    <w:abstractNumId w:val="64"/>
  </w:num>
  <w:num w:numId="16" w16cid:durableId="690761584">
    <w:abstractNumId w:val="14"/>
  </w:num>
  <w:num w:numId="17" w16cid:durableId="311836017">
    <w:abstractNumId w:val="32"/>
  </w:num>
  <w:num w:numId="18" w16cid:durableId="2040084117">
    <w:abstractNumId w:val="19"/>
  </w:num>
  <w:num w:numId="19" w16cid:durableId="714891347">
    <w:abstractNumId w:val="5"/>
  </w:num>
  <w:num w:numId="20" w16cid:durableId="697581186">
    <w:abstractNumId w:val="34"/>
  </w:num>
  <w:num w:numId="21" w16cid:durableId="1133643610">
    <w:abstractNumId w:val="22"/>
  </w:num>
  <w:num w:numId="22" w16cid:durableId="1043677192">
    <w:abstractNumId w:val="17"/>
  </w:num>
  <w:num w:numId="23" w16cid:durableId="2035106111">
    <w:abstractNumId w:val="28"/>
  </w:num>
  <w:num w:numId="24" w16cid:durableId="2001810669">
    <w:abstractNumId w:val="16"/>
  </w:num>
  <w:num w:numId="25" w16cid:durableId="238754566">
    <w:abstractNumId w:val="51"/>
  </w:num>
  <w:num w:numId="26" w16cid:durableId="1975141654">
    <w:abstractNumId w:val="7"/>
  </w:num>
  <w:num w:numId="27" w16cid:durableId="303632327">
    <w:abstractNumId w:val="53"/>
  </w:num>
  <w:num w:numId="28" w16cid:durableId="1929196753">
    <w:abstractNumId w:val="62"/>
  </w:num>
  <w:num w:numId="29" w16cid:durableId="1364788472">
    <w:abstractNumId w:val="24"/>
  </w:num>
  <w:num w:numId="30" w16cid:durableId="1289698988">
    <w:abstractNumId w:val="45"/>
  </w:num>
  <w:num w:numId="31" w16cid:durableId="856388722">
    <w:abstractNumId w:val="57"/>
  </w:num>
  <w:num w:numId="32" w16cid:durableId="288050059">
    <w:abstractNumId w:val="52"/>
  </w:num>
  <w:num w:numId="33" w16cid:durableId="1351950045">
    <w:abstractNumId w:val="25"/>
  </w:num>
  <w:num w:numId="34" w16cid:durableId="659849140">
    <w:abstractNumId w:val="44"/>
  </w:num>
  <w:num w:numId="35" w16cid:durableId="336272745">
    <w:abstractNumId w:val="56"/>
  </w:num>
  <w:num w:numId="36" w16cid:durableId="328021655">
    <w:abstractNumId w:val="59"/>
  </w:num>
  <w:num w:numId="37" w16cid:durableId="494806554">
    <w:abstractNumId w:val="49"/>
  </w:num>
  <w:num w:numId="38" w16cid:durableId="390420669">
    <w:abstractNumId w:val="4"/>
  </w:num>
  <w:num w:numId="39" w16cid:durableId="356008811">
    <w:abstractNumId w:val="18"/>
  </w:num>
  <w:num w:numId="40" w16cid:durableId="1163005185">
    <w:abstractNumId w:val="3"/>
  </w:num>
  <w:num w:numId="41" w16cid:durableId="417754280">
    <w:abstractNumId w:val="30"/>
  </w:num>
  <w:num w:numId="42" w16cid:durableId="1203977152">
    <w:abstractNumId w:val="61"/>
  </w:num>
  <w:num w:numId="43" w16cid:durableId="48841414">
    <w:abstractNumId w:val="39"/>
  </w:num>
  <w:num w:numId="44" w16cid:durableId="1452745015">
    <w:abstractNumId w:val="63"/>
  </w:num>
  <w:num w:numId="45" w16cid:durableId="447310248">
    <w:abstractNumId w:val="20"/>
  </w:num>
  <w:num w:numId="46" w16cid:durableId="678233321">
    <w:abstractNumId w:val="11"/>
  </w:num>
  <w:num w:numId="47" w16cid:durableId="1703676261">
    <w:abstractNumId w:val="9"/>
  </w:num>
  <w:num w:numId="48" w16cid:durableId="1707097954">
    <w:abstractNumId w:val="41"/>
  </w:num>
  <w:num w:numId="49" w16cid:durableId="20400713">
    <w:abstractNumId w:val="2"/>
  </w:num>
  <w:num w:numId="50" w16cid:durableId="1572426291">
    <w:abstractNumId w:val="23"/>
  </w:num>
  <w:num w:numId="51" w16cid:durableId="1161192027">
    <w:abstractNumId w:val="13"/>
  </w:num>
  <w:num w:numId="52" w16cid:durableId="1178885010">
    <w:abstractNumId w:val="6"/>
  </w:num>
  <w:num w:numId="53" w16cid:durableId="1020812169">
    <w:abstractNumId w:val="33"/>
  </w:num>
  <w:num w:numId="54" w16cid:durableId="483157188">
    <w:abstractNumId w:val="69"/>
  </w:num>
  <w:num w:numId="55" w16cid:durableId="2243042">
    <w:abstractNumId w:val="35"/>
  </w:num>
  <w:num w:numId="56" w16cid:durableId="226838942">
    <w:abstractNumId w:val="54"/>
  </w:num>
  <w:num w:numId="57" w16cid:durableId="44303208">
    <w:abstractNumId w:val="50"/>
  </w:num>
  <w:num w:numId="58" w16cid:durableId="1403021692">
    <w:abstractNumId w:val="68"/>
  </w:num>
  <w:num w:numId="59" w16cid:durableId="1391415229">
    <w:abstractNumId w:val="0"/>
  </w:num>
  <w:num w:numId="60" w16cid:durableId="1438719243">
    <w:abstractNumId w:val="48"/>
  </w:num>
  <w:num w:numId="61" w16cid:durableId="1880700257">
    <w:abstractNumId w:val="8"/>
  </w:num>
  <w:num w:numId="62" w16cid:durableId="1089623974">
    <w:abstractNumId w:val="58"/>
  </w:num>
  <w:num w:numId="63" w16cid:durableId="1950578403">
    <w:abstractNumId w:val="29"/>
  </w:num>
  <w:num w:numId="64" w16cid:durableId="216746467">
    <w:abstractNumId w:val="1"/>
  </w:num>
  <w:num w:numId="65" w16cid:durableId="702436000">
    <w:abstractNumId w:val="36"/>
  </w:num>
  <w:num w:numId="66" w16cid:durableId="1206285424">
    <w:abstractNumId w:val="47"/>
  </w:num>
  <w:num w:numId="67" w16cid:durableId="728070758">
    <w:abstractNumId w:val="60"/>
  </w:num>
  <w:num w:numId="68" w16cid:durableId="1066880952">
    <w:abstractNumId w:val="10"/>
  </w:num>
  <w:num w:numId="69" w16cid:durableId="236020146">
    <w:abstractNumId w:val="27"/>
  </w:num>
  <w:num w:numId="70" w16cid:durableId="1613706157">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73B"/>
    <w:rsid w:val="00003A85"/>
    <w:rsid w:val="00005402"/>
    <w:rsid w:val="00005F0E"/>
    <w:rsid w:val="00010C60"/>
    <w:rsid w:val="00011730"/>
    <w:rsid w:val="00012DF4"/>
    <w:rsid w:val="00014F6C"/>
    <w:rsid w:val="00016558"/>
    <w:rsid w:val="000173A5"/>
    <w:rsid w:val="000175F5"/>
    <w:rsid w:val="000202CA"/>
    <w:rsid w:val="00020340"/>
    <w:rsid w:val="000213D3"/>
    <w:rsid w:val="00021C7D"/>
    <w:rsid w:val="0002414F"/>
    <w:rsid w:val="00033532"/>
    <w:rsid w:val="000344CD"/>
    <w:rsid w:val="0003541D"/>
    <w:rsid w:val="00035FBA"/>
    <w:rsid w:val="00036C56"/>
    <w:rsid w:val="00037857"/>
    <w:rsid w:val="00040BF8"/>
    <w:rsid w:val="00040EBB"/>
    <w:rsid w:val="00041FE7"/>
    <w:rsid w:val="00043BCD"/>
    <w:rsid w:val="000465C1"/>
    <w:rsid w:val="00050E0E"/>
    <w:rsid w:val="00051965"/>
    <w:rsid w:val="00052A4E"/>
    <w:rsid w:val="000577E2"/>
    <w:rsid w:val="00060246"/>
    <w:rsid w:val="00061C2F"/>
    <w:rsid w:val="0006522C"/>
    <w:rsid w:val="0007259A"/>
    <w:rsid w:val="000726FD"/>
    <w:rsid w:val="00072984"/>
    <w:rsid w:val="00074EE7"/>
    <w:rsid w:val="00075D56"/>
    <w:rsid w:val="0007631F"/>
    <w:rsid w:val="000763A9"/>
    <w:rsid w:val="00084DEC"/>
    <w:rsid w:val="0008573B"/>
    <w:rsid w:val="00087115"/>
    <w:rsid w:val="00087CA5"/>
    <w:rsid w:val="00087FD1"/>
    <w:rsid w:val="00094ADF"/>
    <w:rsid w:val="00095B67"/>
    <w:rsid w:val="00096618"/>
    <w:rsid w:val="000968BB"/>
    <w:rsid w:val="00096F5D"/>
    <w:rsid w:val="00097734"/>
    <w:rsid w:val="000A0AC9"/>
    <w:rsid w:val="000A3026"/>
    <w:rsid w:val="000A475D"/>
    <w:rsid w:val="000A5463"/>
    <w:rsid w:val="000A6B9A"/>
    <w:rsid w:val="000B2DD1"/>
    <w:rsid w:val="000C01AE"/>
    <w:rsid w:val="000C3043"/>
    <w:rsid w:val="000C653F"/>
    <w:rsid w:val="000D23CB"/>
    <w:rsid w:val="000D25AD"/>
    <w:rsid w:val="000D50E5"/>
    <w:rsid w:val="000D6633"/>
    <w:rsid w:val="000E02AA"/>
    <w:rsid w:val="000E10B2"/>
    <w:rsid w:val="000E2723"/>
    <w:rsid w:val="000E6873"/>
    <w:rsid w:val="000E691A"/>
    <w:rsid w:val="000E7DC7"/>
    <w:rsid w:val="000F055E"/>
    <w:rsid w:val="000F07E1"/>
    <w:rsid w:val="000F3952"/>
    <w:rsid w:val="000F47A5"/>
    <w:rsid w:val="000F4A82"/>
    <w:rsid w:val="000F5E9D"/>
    <w:rsid w:val="00102945"/>
    <w:rsid w:val="0010701B"/>
    <w:rsid w:val="00107B90"/>
    <w:rsid w:val="00110D93"/>
    <w:rsid w:val="001123B2"/>
    <w:rsid w:val="001126D0"/>
    <w:rsid w:val="001129B2"/>
    <w:rsid w:val="0011551B"/>
    <w:rsid w:val="001167B1"/>
    <w:rsid w:val="00120155"/>
    <w:rsid w:val="0012044B"/>
    <w:rsid w:val="00121694"/>
    <w:rsid w:val="0012208E"/>
    <w:rsid w:val="0012501F"/>
    <w:rsid w:val="00130135"/>
    <w:rsid w:val="00130499"/>
    <w:rsid w:val="00130ED8"/>
    <w:rsid w:val="00134303"/>
    <w:rsid w:val="00136D7D"/>
    <w:rsid w:val="00141B76"/>
    <w:rsid w:val="0014209A"/>
    <w:rsid w:val="001525E6"/>
    <w:rsid w:val="00153B64"/>
    <w:rsid w:val="00154C2B"/>
    <w:rsid w:val="00161E6A"/>
    <w:rsid w:val="0016251B"/>
    <w:rsid w:val="0016272D"/>
    <w:rsid w:val="00166EDE"/>
    <w:rsid w:val="00174FE7"/>
    <w:rsid w:val="0017509B"/>
    <w:rsid w:val="001769A1"/>
    <w:rsid w:val="001769CB"/>
    <w:rsid w:val="0018164F"/>
    <w:rsid w:val="00182924"/>
    <w:rsid w:val="001843DD"/>
    <w:rsid w:val="001854E9"/>
    <w:rsid w:val="00186530"/>
    <w:rsid w:val="00190D07"/>
    <w:rsid w:val="00190E5C"/>
    <w:rsid w:val="001915CC"/>
    <w:rsid w:val="00195A9A"/>
    <w:rsid w:val="0019731A"/>
    <w:rsid w:val="00197C63"/>
    <w:rsid w:val="001A17AC"/>
    <w:rsid w:val="001A190F"/>
    <w:rsid w:val="001A1CF6"/>
    <w:rsid w:val="001A2E0E"/>
    <w:rsid w:val="001A5362"/>
    <w:rsid w:val="001A5F0A"/>
    <w:rsid w:val="001A6B4D"/>
    <w:rsid w:val="001A7E6E"/>
    <w:rsid w:val="001B2018"/>
    <w:rsid w:val="001B278E"/>
    <w:rsid w:val="001B2845"/>
    <w:rsid w:val="001B37AE"/>
    <w:rsid w:val="001B4627"/>
    <w:rsid w:val="001B664E"/>
    <w:rsid w:val="001B6E07"/>
    <w:rsid w:val="001B6F0B"/>
    <w:rsid w:val="001B795B"/>
    <w:rsid w:val="001C0F7A"/>
    <w:rsid w:val="001C418B"/>
    <w:rsid w:val="001C46DA"/>
    <w:rsid w:val="001C4F23"/>
    <w:rsid w:val="001C516E"/>
    <w:rsid w:val="001C553D"/>
    <w:rsid w:val="001C5CF2"/>
    <w:rsid w:val="001C6327"/>
    <w:rsid w:val="001C6B6D"/>
    <w:rsid w:val="001C70A1"/>
    <w:rsid w:val="001D3815"/>
    <w:rsid w:val="001D3A61"/>
    <w:rsid w:val="001D548D"/>
    <w:rsid w:val="001D5D79"/>
    <w:rsid w:val="001D60E5"/>
    <w:rsid w:val="001D6140"/>
    <w:rsid w:val="001D6F11"/>
    <w:rsid w:val="001D7289"/>
    <w:rsid w:val="001E119A"/>
    <w:rsid w:val="001E1DD1"/>
    <w:rsid w:val="001E5776"/>
    <w:rsid w:val="001F1D7D"/>
    <w:rsid w:val="001F3B84"/>
    <w:rsid w:val="001F3F0F"/>
    <w:rsid w:val="001F44D7"/>
    <w:rsid w:val="001F4F18"/>
    <w:rsid w:val="001F563D"/>
    <w:rsid w:val="001F5D93"/>
    <w:rsid w:val="001F6114"/>
    <w:rsid w:val="001F62B2"/>
    <w:rsid w:val="001F66A8"/>
    <w:rsid w:val="001F68AF"/>
    <w:rsid w:val="001F73D6"/>
    <w:rsid w:val="00200E07"/>
    <w:rsid w:val="00202D6B"/>
    <w:rsid w:val="0020336F"/>
    <w:rsid w:val="00203610"/>
    <w:rsid w:val="002048EA"/>
    <w:rsid w:val="00212D09"/>
    <w:rsid w:val="0021390E"/>
    <w:rsid w:val="00216920"/>
    <w:rsid w:val="00216D88"/>
    <w:rsid w:val="00217FAC"/>
    <w:rsid w:val="0022302C"/>
    <w:rsid w:val="0022400B"/>
    <w:rsid w:val="00224B8D"/>
    <w:rsid w:val="00225AB9"/>
    <w:rsid w:val="002279AF"/>
    <w:rsid w:val="00231B96"/>
    <w:rsid w:val="00232985"/>
    <w:rsid w:val="002338D5"/>
    <w:rsid w:val="00234795"/>
    <w:rsid w:val="002403BB"/>
    <w:rsid w:val="00240E8F"/>
    <w:rsid w:val="002429CB"/>
    <w:rsid w:val="00243695"/>
    <w:rsid w:val="002457D2"/>
    <w:rsid w:val="00246071"/>
    <w:rsid w:val="002505A2"/>
    <w:rsid w:val="00251478"/>
    <w:rsid w:val="0025213A"/>
    <w:rsid w:val="00254B41"/>
    <w:rsid w:val="00257CA1"/>
    <w:rsid w:val="002613D8"/>
    <w:rsid w:val="002615CC"/>
    <w:rsid w:val="002616F6"/>
    <w:rsid w:val="002618A3"/>
    <w:rsid w:val="00266DED"/>
    <w:rsid w:val="002704B7"/>
    <w:rsid w:val="00271509"/>
    <w:rsid w:val="002765C0"/>
    <w:rsid w:val="002774E0"/>
    <w:rsid w:val="00280421"/>
    <w:rsid w:val="0028261C"/>
    <w:rsid w:val="00282B37"/>
    <w:rsid w:val="00284B59"/>
    <w:rsid w:val="002850FE"/>
    <w:rsid w:val="002877B9"/>
    <w:rsid w:val="00291F3F"/>
    <w:rsid w:val="00293B3A"/>
    <w:rsid w:val="00293E68"/>
    <w:rsid w:val="002A1EF6"/>
    <w:rsid w:val="002A366C"/>
    <w:rsid w:val="002B4A8D"/>
    <w:rsid w:val="002B59E2"/>
    <w:rsid w:val="002B6789"/>
    <w:rsid w:val="002C0FF1"/>
    <w:rsid w:val="002C1648"/>
    <w:rsid w:val="002C211B"/>
    <w:rsid w:val="002C3A80"/>
    <w:rsid w:val="002C3E31"/>
    <w:rsid w:val="002C450B"/>
    <w:rsid w:val="002C4912"/>
    <w:rsid w:val="002C5706"/>
    <w:rsid w:val="002C6DA1"/>
    <w:rsid w:val="002D12B2"/>
    <w:rsid w:val="002D4671"/>
    <w:rsid w:val="002E20B6"/>
    <w:rsid w:val="002E6225"/>
    <w:rsid w:val="002E728D"/>
    <w:rsid w:val="002F0CA3"/>
    <w:rsid w:val="002F31E4"/>
    <w:rsid w:val="002F50F5"/>
    <w:rsid w:val="00300822"/>
    <w:rsid w:val="003046DF"/>
    <w:rsid w:val="00306B11"/>
    <w:rsid w:val="0031074D"/>
    <w:rsid w:val="003107CF"/>
    <w:rsid w:val="003110A0"/>
    <w:rsid w:val="00311BFE"/>
    <w:rsid w:val="0031258A"/>
    <w:rsid w:val="00312865"/>
    <w:rsid w:val="00313CB1"/>
    <w:rsid w:val="0031562C"/>
    <w:rsid w:val="00320293"/>
    <w:rsid w:val="00320ED7"/>
    <w:rsid w:val="003216D1"/>
    <w:rsid w:val="00322FB3"/>
    <w:rsid w:val="0032310C"/>
    <w:rsid w:val="003237FC"/>
    <w:rsid w:val="00326B9F"/>
    <w:rsid w:val="00330049"/>
    <w:rsid w:val="003302DD"/>
    <w:rsid w:val="00332F12"/>
    <w:rsid w:val="0033471E"/>
    <w:rsid w:val="003349C0"/>
    <w:rsid w:val="0033786C"/>
    <w:rsid w:val="00340C10"/>
    <w:rsid w:val="003415BF"/>
    <w:rsid w:val="00341911"/>
    <w:rsid w:val="0034591A"/>
    <w:rsid w:val="00345EFE"/>
    <w:rsid w:val="00346FFB"/>
    <w:rsid w:val="0035612B"/>
    <w:rsid w:val="00356F63"/>
    <w:rsid w:val="003628F5"/>
    <w:rsid w:val="00362E7C"/>
    <w:rsid w:val="003636AE"/>
    <w:rsid w:val="00363FCD"/>
    <w:rsid w:val="003649E2"/>
    <w:rsid w:val="00364E4F"/>
    <w:rsid w:val="00366D32"/>
    <w:rsid w:val="00373482"/>
    <w:rsid w:val="003743D3"/>
    <w:rsid w:val="003758E7"/>
    <w:rsid w:val="00376912"/>
    <w:rsid w:val="003805E7"/>
    <w:rsid w:val="003828DA"/>
    <w:rsid w:val="003901B9"/>
    <w:rsid w:val="00390C7B"/>
    <w:rsid w:val="003949D9"/>
    <w:rsid w:val="00395E3E"/>
    <w:rsid w:val="00397AEA"/>
    <w:rsid w:val="003A2A93"/>
    <w:rsid w:val="003A2DD8"/>
    <w:rsid w:val="003A3BF8"/>
    <w:rsid w:val="003A3C2F"/>
    <w:rsid w:val="003A52B2"/>
    <w:rsid w:val="003A6689"/>
    <w:rsid w:val="003A6E6D"/>
    <w:rsid w:val="003B246F"/>
    <w:rsid w:val="003B2613"/>
    <w:rsid w:val="003B2968"/>
    <w:rsid w:val="003B473B"/>
    <w:rsid w:val="003B57EC"/>
    <w:rsid w:val="003B780E"/>
    <w:rsid w:val="003C10AC"/>
    <w:rsid w:val="003C137E"/>
    <w:rsid w:val="003C2182"/>
    <w:rsid w:val="003C7084"/>
    <w:rsid w:val="003D23CC"/>
    <w:rsid w:val="003D2930"/>
    <w:rsid w:val="003D2F27"/>
    <w:rsid w:val="003D2FA6"/>
    <w:rsid w:val="003D7654"/>
    <w:rsid w:val="003E2DA7"/>
    <w:rsid w:val="003E6F33"/>
    <w:rsid w:val="003F26FE"/>
    <w:rsid w:val="003F4E2E"/>
    <w:rsid w:val="00400791"/>
    <w:rsid w:val="00400B5D"/>
    <w:rsid w:val="00407784"/>
    <w:rsid w:val="004110FC"/>
    <w:rsid w:val="0041211D"/>
    <w:rsid w:val="0041497D"/>
    <w:rsid w:val="00416F72"/>
    <w:rsid w:val="00417C25"/>
    <w:rsid w:val="00417F93"/>
    <w:rsid w:val="00422DEC"/>
    <w:rsid w:val="0042593D"/>
    <w:rsid w:val="004261BF"/>
    <w:rsid w:val="00427669"/>
    <w:rsid w:val="00430223"/>
    <w:rsid w:val="00431D13"/>
    <w:rsid w:val="00433E6A"/>
    <w:rsid w:val="00434A4B"/>
    <w:rsid w:val="004361AE"/>
    <w:rsid w:val="004408C3"/>
    <w:rsid w:val="00440D27"/>
    <w:rsid w:val="00441CD5"/>
    <w:rsid w:val="0044464E"/>
    <w:rsid w:val="00444C87"/>
    <w:rsid w:val="00445620"/>
    <w:rsid w:val="004511AF"/>
    <w:rsid w:val="0046252C"/>
    <w:rsid w:val="00464860"/>
    <w:rsid w:val="00464FCA"/>
    <w:rsid w:val="00465FC2"/>
    <w:rsid w:val="004678E3"/>
    <w:rsid w:val="00467F3F"/>
    <w:rsid w:val="00471130"/>
    <w:rsid w:val="00471FD7"/>
    <w:rsid w:val="0047253C"/>
    <w:rsid w:val="00473274"/>
    <w:rsid w:val="00475BC1"/>
    <w:rsid w:val="0047750E"/>
    <w:rsid w:val="00480AF6"/>
    <w:rsid w:val="00483B12"/>
    <w:rsid w:val="00485750"/>
    <w:rsid w:val="00485ED8"/>
    <w:rsid w:val="0049053F"/>
    <w:rsid w:val="00493647"/>
    <w:rsid w:val="0049534B"/>
    <w:rsid w:val="004A084F"/>
    <w:rsid w:val="004A1BCA"/>
    <w:rsid w:val="004A26D6"/>
    <w:rsid w:val="004A53C5"/>
    <w:rsid w:val="004A541E"/>
    <w:rsid w:val="004A701F"/>
    <w:rsid w:val="004B05C9"/>
    <w:rsid w:val="004B23B9"/>
    <w:rsid w:val="004B4693"/>
    <w:rsid w:val="004B4F5F"/>
    <w:rsid w:val="004C2F93"/>
    <w:rsid w:val="004C5C17"/>
    <w:rsid w:val="004C6A70"/>
    <w:rsid w:val="004D1C26"/>
    <w:rsid w:val="004D58D5"/>
    <w:rsid w:val="004E0585"/>
    <w:rsid w:val="004E0B75"/>
    <w:rsid w:val="004E38EB"/>
    <w:rsid w:val="004E53BB"/>
    <w:rsid w:val="004E6D46"/>
    <w:rsid w:val="004F2BBB"/>
    <w:rsid w:val="004F33A6"/>
    <w:rsid w:val="004F3FF4"/>
    <w:rsid w:val="004F5763"/>
    <w:rsid w:val="0050188F"/>
    <w:rsid w:val="00505977"/>
    <w:rsid w:val="00505FDE"/>
    <w:rsid w:val="005118B6"/>
    <w:rsid w:val="0051232C"/>
    <w:rsid w:val="00514367"/>
    <w:rsid w:val="00515314"/>
    <w:rsid w:val="005177E3"/>
    <w:rsid w:val="00520835"/>
    <w:rsid w:val="00523792"/>
    <w:rsid w:val="005261CE"/>
    <w:rsid w:val="005323C4"/>
    <w:rsid w:val="00532F00"/>
    <w:rsid w:val="0054015C"/>
    <w:rsid w:val="005401F3"/>
    <w:rsid w:val="005404B0"/>
    <w:rsid w:val="00540FDD"/>
    <w:rsid w:val="00541668"/>
    <w:rsid w:val="00544A3E"/>
    <w:rsid w:val="00545FB8"/>
    <w:rsid w:val="005469EB"/>
    <w:rsid w:val="00546CC9"/>
    <w:rsid w:val="00547D9E"/>
    <w:rsid w:val="00550474"/>
    <w:rsid w:val="005550BB"/>
    <w:rsid w:val="005552AE"/>
    <w:rsid w:val="005558A6"/>
    <w:rsid w:val="0055601F"/>
    <w:rsid w:val="00562013"/>
    <w:rsid w:val="00562699"/>
    <w:rsid w:val="005636D9"/>
    <w:rsid w:val="00563AF1"/>
    <w:rsid w:val="00566AEA"/>
    <w:rsid w:val="005707FD"/>
    <w:rsid w:val="0057215E"/>
    <w:rsid w:val="0057255E"/>
    <w:rsid w:val="005728FB"/>
    <w:rsid w:val="00573614"/>
    <w:rsid w:val="00573BA3"/>
    <w:rsid w:val="005757A3"/>
    <w:rsid w:val="00581E85"/>
    <w:rsid w:val="0058441C"/>
    <w:rsid w:val="0058715F"/>
    <w:rsid w:val="00587510"/>
    <w:rsid w:val="0059218E"/>
    <w:rsid w:val="00592E69"/>
    <w:rsid w:val="00597A72"/>
    <w:rsid w:val="00597DB1"/>
    <w:rsid w:val="005B103A"/>
    <w:rsid w:val="005B1376"/>
    <w:rsid w:val="005B1B3A"/>
    <w:rsid w:val="005B1D6E"/>
    <w:rsid w:val="005B2F07"/>
    <w:rsid w:val="005B3227"/>
    <w:rsid w:val="005B3BE6"/>
    <w:rsid w:val="005B3F1E"/>
    <w:rsid w:val="005B6AAE"/>
    <w:rsid w:val="005C1773"/>
    <w:rsid w:val="005C4565"/>
    <w:rsid w:val="005C531B"/>
    <w:rsid w:val="005C63E0"/>
    <w:rsid w:val="005C7395"/>
    <w:rsid w:val="005D0195"/>
    <w:rsid w:val="005D3160"/>
    <w:rsid w:val="005D3E26"/>
    <w:rsid w:val="005D438E"/>
    <w:rsid w:val="005D549D"/>
    <w:rsid w:val="005D56A3"/>
    <w:rsid w:val="005D639C"/>
    <w:rsid w:val="005D7A64"/>
    <w:rsid w:val="005E19B5"/>
    <w:rsid w:val="005E2AD8"/>
    <w:rsid w:val="005E2BFD"/>
    <w:rsid w:val="005E385A"/>
    <w:rsid w:val="005E4B09"/>
    <w:rsid w:val="005E58D0"/>
    <w:rsid w:val="005E59EF"/>
    <w:rsid w:val="005E6AF9"/>
    <w:rsid w:val="005E6E7B"/>
    <w:rsid w:val="005F104A"/>
    <w:rsid w:val="005F6709"/>
    <w:rsid w:val="0060230C"/>
    <w:rsid w:val="00602E4A"/>
    <w:rsid w:val="00604A52"/>
    <w:rsid w:val="00607D63"/>
    <w:rsid w:val="00610412"/>
    <w:rsid w:val="00611D70"/>
    <w:rsid w:val="00611E4C"/>
    <w:rsid w:val="00617606"/>
    <w:rsid w:val="00617E15"/>
    <w:rsid w:val="00622DF1"/>
    <w:rsid w:val="0062440D"/>
    <w:rsid w:val="0063256E"/>
    <w:rsid w:val="006326F3"/>
    <w:rsid w:val="00632918"/>
    <w:rsid w:val="00632E16"/>
    <w:rsid w:val="0063511B"/>
    <w:rsid w:val="0064192F"/>
    <w:rsid w:val="00642026"/>
    <w:rsid w:val="00644742"/>
    <w:rsid w:val="00644F4C"/>
    <w:rsid w:val="0064751B"/>
    <w:rsid w:val="00647E35"/>
    <w:rsid w:val="0065382E"/>
    <w:rsid w:val="006544D1"/>
    <w:rsid w:val="006603EC"/>
    <w:rsid w:val="00661205"/>
    <w:rsid w:val="00666408"/>
    <w:rsid w:val="006668DA"/>
    <w:rsid w:val="00671875"/>
    <w:rsid w:val="0067409B"/>
    <w:rsid w:val="006741A7"/>
    <w:rsid w:val="00681595"/>
    <w:rsid w:val="00681D9A"/>
    <w:rsid w:val="006829C2"/>
    <w:rsid w:val="00685F07"/>
    <w:rsid w:val="00691102"/>
    <w:rsid w:val="006914EE"/>
    <w:rsid w:val="00691B7D"/>
    <w:rsid w:val="00692A68"/>
    <w:rsid w:val="00693143"/>
    <w:rsid w:val="006939C6"/>
    <w:rsid w:val="006962A4"/>
    <w:rsid w:val="006A167C"/>
    <w:rsid w:val="006A1D18"/>
    <w:rsid w:val="006A2220"/>
    <w:rsid w:val="006A2C85"/>
    <w:rsid w:val="006A3AE8"/>
    <w:rsid w:val="006A42CA"/>
    <w:rsid w:val="006A56F5"/>
    <w:rsid w:val="006A5F8C"/>
    <w:rsid w:val="006A68C0"/>
    <w:rsid w:val="006A77AA"/>
    <w:rsid w:val="006B0857"/>
    <w:rsid w:val="006B11A0"/>
    <w:rsid w:val="006B164A"/>
    <w:rsid w:val="006B2274"/>
    <w:rsid w:val="006B2DCA"/>
    <w:rsid w:val="006B337D"/>
    <w:rsid w:val="006B5E6E"/>
    <w:rsid w:val="006B62F8"/>
    <w:rsid w:val="006B633A"/>
    <w:rsid w:val="006B6F27"/>
    <w:rsid w:val="006C0B81"/>
    <w:rsid w:val="006C0DEA"/>
    <w:rsid w:val="006C2B7D"/>
    <w:rsid w:val="006C3423"/>
    <w:rsid w:val="006C4BDE"/>
    <w:rsid w:val="006C4E09"/>
    <w:rsid w:val="006C56CF"/>
    <w:rsid w:val="006C640D"/>
    <w:rsid w:val="006C6789"/>
    <w:rsid w:val="006C7605"/>
    <w:rsid w:val="006D0E61"/>
    <w:rsid w:val="006D22B6"/>
    <w:rsid w:val="006D3B65"/>
    <w:rsid w:val="006D3D6F"/>
    <w:rsid w:val="006D5C02"/>
    <w:rsid w:val="006D5C72"/>
    <w:rsid w:val="006D7495"/>
    <w:rsid w:val="006D7AAA"/>
    <w:rsid w:val="006E1E62"/>
    <w:rsid w:val="006E2CEF"/>
    <w:rsid w:val="006E57CD"/>
    <w:rsid w:val="006E6CA9"/>
    <w:rsid w:val="006F21C9"/>
    <w:rsid w:val="006F421E"/>
    <w:rsid w:val="006F47E1"/>
    <w:rsid w:val="006F5220"/>
    <w:rsid w:val="006F567F"/>
    <w:rsid w:val="00704FC3"/>
    <w:rsid w:val="00705409"/>
    <w:rsid w:val="007079F1"/>
    <w:rsid w:val="00710031"/>
    <w:rsid w:val="00722121"/>
    <w:rsid w:val="0072430C"/>
    <w:rsid w:val="00727C3B"/>
    <w:rsid w:val="007308E2"/>
    <w:rsid w:val="007308E7"/>
    <w:rsid w:val="007329DD"/>
    <w:rsid w:val="00733C4D"/>
    <w:rsid w:val="00740719"/>
    <w:rsid w:val="00740E24"/>
    <w:rsid w:val="0074501A"/>
    <w:rsid w:val="00745B0D"/>
    <w:rsid w:val="00750C42"/>
    <w:rsid w:val="00751105"/>
    <w:rsid w:val="0075295E"/>
    <w:rsid w:val="00752A69"/>
    <w:rsid w:val="00752CC7"/>
    <w:rsid w:val="00755E5A"/>
    <w:rsid w:val="0075617F"/>
    <w:rsid w:val="0075758D"/>
    <w:rsid w:val="007578C5"/>
    <w:rsid w:val="0076022C"/>
    <w:rsid w:val="007633C6"/>
    <w:rsid w:val="007668EF"/>
    <w:rsid w:val="00766D37"/>
    <w:rsid w:val="00767A09"/>
    <w:rsid w:val="00767BC7"/>
    <w:rsid w:val="00770BCC"/>
    <w:rsid w:val="0077156D"/>
    <w:rsid w:val="007725E6"/>
    <w:rsid w:val="00772915"/>
    <w:rsid w:val="00772AB6"/>
    <w:rsid w:val="00773722"/>
    <w:rsid w:val="00773F70"/>
    <w:rsid w:val="00773FA3"/>
    <w:rsid w:val="0077584B"/>
    <w:rsid w:val="00783FFD"/>
    <w:rsid w:val="00784B06"/>
    <w:rsid w:val="0078594F"/>
    <w:rsid w:val="007866CA"/>
    <w:rsid w:val="00787F2D"/>
    <w:rsid w:val="00790267"/>
    <w:rsid w:val="0079111A"/>
    <w:rsid w:val="007921CD"/>
    <w:rsid w:val="007929DC"/>
    <w:rsid w:val="007936BD"/>
    <w:rsid w:val="00794FF7"/>
    <w:rsid w:val="00795642"/>
    <w:rsid w:val="0079629A"/>
    <w:rsid w:val="007A1FA8"/>
    <w:rsid w:val="007A2924"/>
    <w:rsid w:val="007A2DB9"/>
    <w:rsid w:val="007A36CC"/>
    <w:rsid w:val="007A40E4"/>
    <w:rsid w:val="007A5E3E"/>
    <w:rsid w:val="007B1FE0"/>
    <w:rsid w:val="007B2771"/>
    <w:rsid w:val="007B31FF"/>
    <w:rsid w:val="007B52F7"/>
    <w:rsid w:val="007B5816"/>
    <w:rsid w:val="007C07BF"/>
    <w:rsid w:val="007C1604"/>
    <w:rsid w:val="007C1DD1"/>
    <w:rsid w:val="007C4AFC"/>
    <w:rsid w:val="007C5FF6"/>
    <w:rsid w:val="007C762C"/>
    <w:rsid w:val="007D5BE3"/>
    <w:rsid w:val="007E01EE"/>
    <w:rsid w:val="007E268A"/>
    <w:rsid w:val="007E27FD"/>
    <w:rsid w:val="007E2986"/>
    <w:rsid w:val="007E3D97"/>
    <w:rsid w:val="007F1802"/>
    <w:rsid w:val="007F642B"/>
    <w:rsid w:val="007F76C5"/>
    <w:rsid w:val="0080053D"/>
    <w:rsid w:val="00800F41"/>
    <w:rsid w:val="00803321"/>
    <w:rsid w:val="008040E6"/>
    <w:rsid w:val="00806B56"/>
    <w:rsid w:val="00811118"/>
    <w:rsid w:val="00812AEB"/>
    <w:rsid w:val="00813BC1"/>
    <w:rsid w:val="00814265"/>
    <w:rsid w:val="00817430"/>
    <w:rsid w:val="00820E96"/>
    <w:rsid w:val="00821A02"/>
    <w:rsid w:val="00822470"/>
    <w:rsid w:val="008228CE"/>
    <w:rsid w:val="00825101"/>
    <w:rsid w:val="00826FED"/>
    <w:rsid w:val="00827119"/>
    <w:rsid w:val="008278FC"/>
    <w:rsid w:val="00833EAA"/>
    <w:rsid w:val="00836246"/>
    <w:rsid w:val="008368E3"/>
    <w:rsid w:val="00840BBE"/>
    <w:rsid w:val="00841AB7"/>
    <w:rsid w:val="00842F8E"/>
    <w:rsid w:val="008436C7"/>
    <w:rsid w:val="00844091"/>
    <w:rsid w:val="00844837"/>
    <w:rsid w:val="008448C9"/>
    <w:rsid w:val="00847EEF"/>
    <w:rsid w:val="008518E1"/>
    <w:rsid w:val="008523D9"/>
    <w:rsid w:val="00854A06"/>
    <w:rsid w:val="0085622E"/>
    <w:rsid w:val="00856CAB"/>
    <w:rsid w:val="00860921"/>
    <w:rsid w:val="00861C2C"/>
    <w:rsid w:val="00864CF4"/>
    <w:rsid w:val="00865434"/>
    <w:rsid w:val="0087038D"/>
    <w:rsid w:val="00872760"/>
    <w:rsid w:val="00873D89"/>
    <w:rsid w:val="00875847"/>
    <w:rsid w:val="0087674E"/>
    <w:rsid w:val="00876B27"/>
    <w:rsid w:val="00880CDD"/>
    <w:rsid w:val="00883DA1"/>
    <w:rsid w:val="00886D80"/>
    <w:rsid w:val="00890CEB"/>
    <w:rsid w:val="00893358"/>
    <w:rsid w:val="00895660"/>
    <w:rsid w:val="00897274"/>
    <w:rsid w:val="008976AD"/>
    <w:rsid w:val="008A0948"/>
    <w:rsid w:val="008A0A7E"/>
    <w:rsid w:val="008A190A"/>
    <w:rsid w:val="008A3FB0"/>
    <w:rsid w:val="008A4C6C"/>
    <w:rsid w:val="008A646E"/>
    <w:rsid w:val="008B0C47"/>
    <w:rsid w:val="008B143B"/>
    <w:rsid w:val="008B182A"/>
    <w:rsid w:val="008B2244"/>
    <w:rsid w:val="008B278B"/>
    <w:rsid w:val="008B5BDF"/>
    <w:rsid w:val="008B7265"/>
    <w:rsid w:val="008C1B7A"/>
    <w:rsid w:val="008C3638"/>
    <w:rsid w:val="008C5907"/>
    <w:rsid w:val="008C693B"/>
    <w:rsid w:val="008C6E0A"/>
    <w:rsid w:val="008C7147"/>
    <w:rsid w:val="008D0715"/>
    <w:rsid w:val="008D0804"/>
    <w:rsid w:val="008D2C12"/>
    <w:rsid w:val="008D4633"/>
    <w:rsid w:val="008D487A"/>
    <w:rsid w:val="008D4CD9"/>
    <w:rsid w:val="008D4EB1"/>
    <w:rsid w:val="008D7B89"/>
    <w:rsid w:val="008E24A1"/>
    <w:rsid w:val="008E57D4"/>
    <w:rsid w:val="008E5E51"/>
    <w:rsid w:val="008E665A"/>
    <w:rsid w:val="008E77F3"/>
    <w:rsid w:val="008F40B3"/>
    <w:rsid w:val="009001D3"/>
    <w:rsid w:val="009023C6"/>
    <w:rsid w:val="00904030"/>
    <w:rsid w:val="009069FD"/>
    <w:rsid w:val="00911CAB"/>
    <w:rsid w:val="009125CE"/>
    <w:rsid w:val="0091412A"/>
    <w:rsid w:val="00915D8B"/>
    <w:rsid w:val="00917639"/>
    <w:rsid w:val="00917D65"/>
    <w:rsid w:val="00917FE9"/>
    <w:rsid w:val="00920EAF"/>
    <w:rsid w:val="00925F96"/>
    <w:rsid w:val="00926263"/>
    <w:rsid w:val="00927672"/>
    <w:rsid w:val="0093130D"/>
    <w:rsid w:val="00931BF4"/>
    <w:rsid w:val="009402BB"/>
    <w:rsid w:val="00940AFC"/>
    <w:rsid w:val="00941CC1"/>
    <w:rsid w:val="00945675"/>
    <w:rsid w:val="00945B48"/>
    <w:rsid w:val="009473A2"/>
    <w:rsid w:val="0095017F"/>
    <w:rsid w:val="00951290"/>
    <w:rsid w:val="009529EA"/>
    <w:rsid w:val="00953F24"/>
    <w:rsid w:val="0095538F"/>
    <w:rsid w:val="009554A3"/>
    <w:rsid w:val="00955D49"/>
    <w:rsid w:val="00960D5B"/>
    <w:rsid w:val="00963AA7"/>
    <w:rsid w:val="009646FA"/>
    <w:rsid w:val="0097129A"/>
    <w:rsid w:val="009728D5"/>
    <w:rsid w:val="00976B84"/>
    <w:rsid w:val="00981649"/>
    <w:rsid w:val="009816CD"/>
    <w:rsid w:val="009827CF"/>
    <w:rsid w:val="00983A36"/>
    <w:rsid w:val="009840AB"/>
    <w:rsid w:val="00984C94"/>
    <w:rsid w:val="009912C3"/>
    <w:rsid w:val="00991400"/>
    <w:rsid w:val="009924DF"/>
    <w:rsid w:val="00992A18"/>
    <w:rsid w:val="00993717"/>
    <w:rsid w:val="00993C9B"/>
    <w:rsid w:val="00996B2F"/>
    <w:rsid w:val="009A0732"/>
    <w:rsid w:val="009A16A1"/>
    <w:rsid w:val="009A3666"/>
    <w:rsid w:val="009A39BC"/>
    <w:rsid w:val="009A3B60"/>
    <w:rsid w:val="009B1D56"/>
    <w:rsid w:val="009B420E"/>
    <w:rsid w:val="009B7BD2"/>
    <w:rsid w:val="009C1060"/>
    <w:rsid w:val="009C1B28"/>
    <w:rsid w:val="009C516F"/>
    <w:rsid w:val="009D2871"/>
    <w:rsid w:val="009D4B95"/>
    <w:rsid w:val="009D615B"/>
    <w:rsid w:val="009D64AF"/>
    <w:rsid w:val="009E11D0"/>
    <w:rsid w:val="009E1BF4"/>
    <w:rsid w:val="009E26B2"/>
    <w:rsid w:val="009E2824"/>
    <w:rsid w:val="009E4233"/>
    <w:rsid w:val="009E5D90"/>
    <w:rsid w:val="009F1D4F"/>
    <w:rsid w:val="009F1FF5"/>
    <w:rsid w:val="009F38C5"/>
    <w:rsid w:val="009F5625"/>
    <w:rsid w:val="009F5BD2"/>
    <w:rsid w:val="009F68CF"/>
    <w:rsid w:val="00A01FA6"/>
    <w:rsid w:val="00A020F5"/>
    <w:rsid w:val="00A04CD5"/>
    <w:rsid w:val="00A07BE5"/>
    <w:rsid w:val="00A100ED"/>
    <w:rsid w:val="00A127B4"/>
    <w:rsid w:val="00A14552"/>
    <w:rsid w:val="00A1613F"/>
    <w:rsid w:val="00A16DCB"/>
    <w:rsid w:val="00A17A46"/>
    <w:rsid w:val="00A22B14"/>
    <w:rsid w:val="00A22C24"/>
    <w:rsid w:val="00A25947"/>
    <w:rsid w:val="00A25F69"/>
    <w:rsid w:val="00A26F08"/>
    <w:rsid w:val="00A2706B"/>
    <w:rsid w:val="00A33018"/>
    <w:rsid w:val="00A33B23"/>
    <w:rsid w:val="00A36185"/>
    <w:rsid w:val="00A36874"/>
    <w:rsid w:val="00A376A0"/>
    <w:rsid w:val="00A3772B"/>
    <w:rsid w:val="00A37BBC"/>
    <w:rsid w:val="00A410C8"/>
    <w:rsid w:val="00A42C41"/>
    <w:rsid w:val="00A5039D"/>
    <w:rsid w:val="00A51CC2"/>
    <w:rsid w:val="00A53638"/>
    <w:rsid w:val="00A538B9"/>
    <w:rsid w:val="00A53A06"/>
    <w:rsid w:val="00A53B7D"/>
    <w:rsid w:val="00A556EE"/>
    <w:rsid w:val="00A55968"/>
    <w:rsid w:val="00A55EBF"/>
    <w:rsid w:val="00A561B7"/>
    <w:rsid w:val="00A5670A"/>
    <w:rsid w:val="00A569E3"/>
    <w:rsid w:val="00A56E3C"/>
    <w:rsid w:val="00A601C0"/>
    <w:rsid w:val="00A63E64"/>
    <w:rsid w:val="00A64D05"/>
    <w:rsid w:val="00A66DCC"/>
    <w:rsid w:val="00A71182"/>
    <w:rsid w:val="00A715B4"/>
    <w:rsid w:val="00A71617"/>
    <w:rsid w:val="00A72AC1"/>
    <w:rsid w:val="00A74809"/>
    <w:rsid w:val="00A75586"/>
    <w:rsid w:val="00A76CAC"/>
    <w:rsid w:val="00A8050E"/>
    <w:rsid w:val="00A808F3"/>
    <w:rsid w:val="00A80D2F"/>
    <w:rsid w:val="00A81474"/>
    <w:rsid w:val="00A82188"/>
    <w:rsid w:val="00A82292"/>
    <w:rsid w:val="00A832E5"/>
    <w:rsid w:val="00A83E72"/>
    <w:rsid w:val="00A8622F"/>
    <w:rsid w:val="00A90619"/>
    <w:rsid w:val="00A91992"/>
    <w:rsid w:val="00A94D5E"/>
    <w:rsid w:val="00A95749"/>
    <w:rsid w:val="00AA13F2"/>
    <w:rsid w:val="00AA1D02"/>
    <w:rsid w:val="00AA3632"/>
    <w:rsid w:val="00AA4A9D"/>
    <w:rsid w:val="00AA52CF"/>
    <w:rsid w:val="00AA6993"/>
    <w:rsid w:val="00AA78BA"/>
    <w:rsid w:val="00AB0162"/>
    <w:rsid w:val="00AB096F"/>
    <w:rsid w:val="00AB6BDF"/>
    <w:rsid w:val="00AB6D84"/>
    <w:rsid w:val="00AC4E9A"/>
    <w:rsid w:val="00AD1D85"/>
    <w:rsid w:val="00AD66C8"/>
    <w:rsid w:val="00AE0461"/>
    <w:rsid w:val="00AE3ADE"/>
    <w:rsid w:val="00AE52F5"/>
    <w:rsid w:val="00AE5EF4"/>
    <w:rsid w:val="00AE675F"/>
    <w:rsid w:val="00AE6C83"/>
    <w:rsid w:val="00AE713A"/>
    <w:rsid w:val="00AE7B48"/>
    <w:rsid w:val="00AF4980"/>
    <w:rsid w:val="00AF5360"/>
    <w:rsid w:val="00AF6140"/>
    <w:rsid w:val="00AF7F67"/>
    <w:rsid w:val="00B004D7"/>
    <w:rsid w:val="00B0059A"/>
    <w:rsid w:val="00B02132"/>
    <w:rsid w:val="00B04074"/>
    <w:rsid w:val="00B1045C"/>
    <w:rsid w:val="00B10894"/>
    <w:rsid w:val="00B11306"/>
    <w:rsid w:val="00B16797"/>
    <w:rsid w:val="00B16AA4"/>
    <w:rsid w:val="00B20597"/>
    <w:rsid w:val="00B208EC"/>
    <w:rsid w:val="00B20EE9"/>
    <w:rsid w:val="00B21384"/>
    <w:rsid w:val="00B21F5D"/>
    <w:rsid w:val="00B22C0D"/>
    <w:rsid w:val="00B236FA"/>
    <w:rsid w:val="00B23F1D"/>
    <w:rsid w:val="00B30F0C"/>
    <w:rsid w:val="00B3219C"/>
    <w:rsid w:val="00B327BB"/>
    <w:rsid w:val="00B32A1E"/>
    <w:rsid w:val="00B361C1"/>
    <w:rsid w:val="00B416A6"/>
    <w:rsid w:val="00B42CB5"/>
    <w:rsid w:val="00B4349E"/>
    <w:rsid w:val="00B451CD"/>
    <w:rsid w:val="00B52340"/>
    <w:rsid w:val="00B5298F"/>
    <w:rsid w:val="00B5334F"/>
    <w:rsid w:val="00B535C1"/>
    <w:rsid w:val="00B54AF9"/>
    <w:rsid w:val="00B60695"/>
    <w:rsid w:val="00B622F5"/>
    <w:rsid w:val="00B634A3"/>
    <w:rsid w:val="00B6352C"/>
    <w:rsid w:val="00B63A17"/>
    <w:rsid w:val="00B64586"/>
    <w:rsid w:val="00B65A74"/>
    <w:rsid w:val="00B67F2E"/>
    <w:rsid w:val="00B72E13"/>
    <w:rsid w:val="00B8243D"/>
    <w:rsid w:val="00B82DAD"/>
    <w:rsid w:val="00B841D1"/>
    <w:rsid w:val="00B85CFC"/>
    <w:rsid w:val="00B86A11"/>
    <w:rsid w:val="00B91D65"/>
    <w:rsid w:val="00B939A2"/>
    <w:rsid w:val="00B95EBC"/>
    <w:rsid w:val="00B9768F"/>
    <w:rsid w:val="00BA283D"/>
    <w:rsid w:val="00BA2DB9"/>
    <w:rsid w:val="00BA3CF8"/>
    <w:rsid w:val="00BA51EE"/>
    <w:rsid w:val="00BA700E"/>
    <w:rsid w:val="00BA7B8B"/>
    <w:rsid w:val="00BA7D15"/>
    <w:rsid w:val="00BB22A9"/>
    <w:rsid w:val="00BB2379"/>
    <w:rsid w:val="00BB31B4"/>
    <w:rsid w:val="00BB5FC5"/>
    <w:rsid w:val="00BB6F8B"/>
    <w:rsid w:val="00BC0B79"/>
    <w:rsid w:val="00BC15ED"/>
    <w:rsid w:val="00BC3995"/>
    <w:rsid w:val="00BC4A4F"/>
    <w:rsid w:val="00BC4B7D"/>
    <w:rsid w:val="00BC529E"/>
    <w:rsid w:val="00BC69C6"/>
    <w:rsid w:val="00BD0F14"/>
    <w:rsid w:val="00BD13CC"/>
    <w:rsid w:val="00BD4A8F"/>
    <w:rsid w:val="00BD552E"/>
    <w:rsid w:val="00BD5699"/>
    <w:rsid w:val="00BD7801"/>
    <w:rsid w:val="00BE1532"/>
    <w:rsid w:val="00BE1ED1"/>
    <w:rsid w:val="00BE29E0"/>
    <w:rsid w:val="00BF08E3"/>
    <w:rsid w:val="00BF10A2"/>
    <w:rsid w:val="00BF1701"/>
    <w:rsid w:val="00BF2333"/>
    <w:rsid w:val="00BF2F72"/>
    <w:rsid w:val="00BF301A"/>
    <w:rsid w:val="00BF34B3"/>
    <w:rsid w:val="00BF377C"/>
    <w:rsid w:val="00BF5CCF"/>
    <w:rsid w:val="00BF609C"/>
    <w:rsid w:val="00C01D65"/>
    <w:rsid w:val="00C04561"/>
    <w:rsid w:val="00C0494A"/>
    <w:rsid w:val="00C06D8A"/>
    <w:rsid w:val="00C10B93"/>
    <w:rsid w:val="00C10F0A"/>
    <w:rsid w:val="00C1461C"/>
    <w:rsid w:val="00C177ED"/>
    <w:rsid w:val="00C216E2"/>
    <w:rsid w:val="00C21CC4"/>
    <w:rsid w:val="00C227A8"/>
    <w:rsid w:val="00C239F9"/>
    <w:rsid w:val="00C23E8A"/>
    <w:rsid w:val="00C26EDC"/>
    <w:rsid w:val="00C31390"/>
    <w:rsid w:val="00C317FF"/>
    <w:rsid w:val="00C31F5A"/>
    <w:rsid w:val="00C33AE4"/>
    <w:rsid w:val="00C343F8"/>
    <w:rsid w:val="00C3503E"/>
    <w:rsid w:val="00C357A2"/>
    <w:rsid w:val="00C377FB"/>
    <w:rsid w:val="00C4044A"/>
    <w:rsid w:val="00C41674"/>
    <w:rsid w:val="00C41B03"/>
    <w:rsid w:val="00C43C57"/>
    <w:rsid w:val="00C44EB1"/>
    <w:rsid w:val="00C45C3B"/>
    <w:rsid w:val="00C50FD6"/>
    <w:rsid w:val="00C5124E"/>
    <w:rsid w:val="00C5248E"/>
    <w:rsid w:val="00C52A3D"/>
    <w:rsid w:val="00C53413"/>
    <w:rsid w:val="00C548DD"/>
    <w:rsid w:val="00C5599E"/>
    <w:rsid w:val="00C60D8D"/>
    <w:rsid w:val="00C62CB5"/>
    <w:rsid w:val="00C62E60"/>
    <w:rsid w:val="00C65FD0"/>
    <w:rsid w:val="00C72167"/>
    <w:rsid w:val="00C7311A"/>
    <w:rsid w:val="00C7525D"/>
    <w:rsid w:val="00C815C1"/>
    <w:rsid w:val="00C83454"/>
    <w:rsid w:val="00C872C4"/>
    <w:rsid w:val="00C875FB"/>
    <w:rsid w:val="00C87E03"/>
    <w:rsid w:val="00C90053"/>
    <w:rsid w:val="00C9030D"/>
    <w:rsid w:val="00C91FC9"/>
    <w:rsid w:val="00C94F4D"/>
    <w:rsid w:val="00C96319"/>
    <w:rsid w:val="00C96CA0"/>
    <w:rsid w:val="00CA262E"/>
    <w:rsid w:val="00CA284E"/>
    <w:rsid w:val="00CA331D"/>
    <w:rsid w:val="00CA360C"/>
    <w:rsid w:val="00CA448F"/>
    <w:rsid w:val="00CA5A5E"/>
    <w:rsid w:val="00CA5BAE"/>
    <w:rsid w:val="00CA6E27"/>
    <w:rsid w:val="00CA7838"/>
    <w:rsid w:val="00CA7F1F"/>
    <w:rsid w:val="00CB3A6E"/>
    <w:rsid w:val="00CB4DAB"/>
    <w:rsid w:val="00CB6862"/>
    <w:rsid w:val="00CC1319"/>
    <w:rsid w:val="00CC58FE"/>
    <w:rsid w:val="00CC687E"/>
    <w:rsid w:val="00CC7D75"/>
    <w:rsid w:val="00CD1640"/>
    <w:rsid w:val="00CD2483"/>
    <w:rsid w:val="00CD3AF3"/>
    <w:rsid w:val="00CD498E"/>
    <w:rsid w:val="00CD5576"/>
    <w:rsid w:val="00CD59C4"/>
    <w:rsid w:val="00CD6EEE"/>
    <w:rsid w:val="00CD77F4"/>
    <w:rsid w:val="00CE1E53"/>
    <w:rsid w:val="00CE2CE4"/>
    <w:rsid w:val="00CE3AEF"/>
    <w:rsid w:val="00CE42D9"/>
    <w:rsid w:val="00CF3B36"/>
    <w:rsid w:val="00CF3BAC"/>
    <w:rsid w:val="00CF4101"/>
    <w:rsid w:val="00CF4841"/>
    <w:rsid w:val="00CF4A9B"/>
    <w:rsid w:val="00CF4DF2"/>
    <w:rsid w:val="00CF668E"/>
    <w:rsid w:val="00D0016B"/>
    <w:rsid w:val="00D01F5A"/>
    <w:rsid w:val="00D027B9"/>
    <w:rsid w:val="00D0620C"/>
    <w:rsid w:val="00D06C6E"/>
    <w:rsid w:val="00D07E44"/>
    <w:rsid w:val="00D16B94"/>
    <w:rsid w:val="00D17039"/>
    <w:rsid w:val="00D20131"/>
    <w:rsid w:val="00D24D67"/>
    <w:rsid w:val="00D252E3"/>
    <w:rsid w:val="00D25DB4"/>
    <w:rsid w:val="00D26A0D"/>
    <w:rsid w:val="00D27173"/>
    <w:rsid w:val="00D273AB"/>
    <w:rsid w:val="00D31105"/>
    <w:rsid w:val="00D3116A"/>
    <w:rsid w:val="00D34F50"/>
    <w:rsid w:val="00D4205A"/>
    <w:rsid w:val="00D42663"/>
    <w:rsid w:val="00D43009"/>
    <w:rsid w:val="00D464A6"/>
    <w:rsid w:val="00D47973"/>
    <w:rsid w:val="00D5065D"/>
    <w:rsid w:val="00D516F8"/>
    <w:rsid w:val="00D51CA9"/>
    <w:rsid w:val="00D521F1"/>
    <w:rsid w:val="00D5327E"/>
    <w:rsid w:val="00D53A46"/>
    <w:rsid w:val="00D57DB1"/>
    <w:rsid w:val="00D57DB5"/>
    <w:rsid w:val="00D57F6C"/>
    <w:rsid w:val="00D628BE"/>
    <w:rsid w:val="00D633AB"/>
    <w:rsid w:val="00D645EE"/>
    <w:rsid w:val="00D64F75"/>
    <w:rsid w:val="00D70BFC"/>
    <w:rsid w:val="00D719E5"/>
    <w:rsid w:val="00D72665"/>
    <w:rsid w:val="00D74C5C"/>
    <w:rsid w:val="00D75518"/>
    <w:rsid w:val="00D77A89"/>
    <w:rsid w:val="00D807CE"/>
    <w:rsid w:val="00D80B61"/>
    <w:rsid w:val="00D816C1"/>
    <w:rsid w:val="00D82F39"/>
    <w:rsid w:val="00D84CBB"/>
    <w:rsid w:val="00D85017"/>
    <w:rsid w:val="00D872D6"/>
    <w:rsid w:val="00D936AE"/>
    <w:rsid w:val="00D95550"/>
    <w:rsid w:val="00D96D05"/>
    <w:rsid w:val="00DA0AF8"/>
    <w:rsid w:val="00DA2162"/>
    <w:rsid w:val="00DA277A"/>
    <w:rsid w:val="00DA3910"/>
    <w:rsid w:val="00DA59FB"/>
    <w:rsid w:val="00DA7324"/>
    <w:rsid w:val="00DB190E"/>
    <w:rsid w:val="00DB3313"/>
    <w:rsid w:val="00DB3E4F"/>
    <w:rsid w:val="00DB3F5D"/>
    <w:rsid w:val="00DB450A"/>
    <w:rsid w:val="00DB48FD"/>
    <w:rsid w:val="00DB4AE8"/>
    <w:rsid w:val="00DB740D"/>
    <w:rsid w:val="00DC02CB"/>
    <w:rsid w:val="00DC02CC"/>
    <w:rsid w:val="00DC05A2"/>
    <w:rsid w:val="00DC4903"/>
    <w:rsid w:val="00DC5714"/>
    <w:rsid w:val="00DC617E"/>
    <w:rsid w:val="00DD482A"/>
    <w:rsid w:val="00DD7741"/>
    <w:rsid w:val="00DE08EB"/>
    <w:rsid w:val="00DE0D4E"/>
    <w:rsid w:val="00DE135E"/>
    <w:rsid w:val="00DE62EB"/>
    <w:rsid w:val="00DF03B9"/>
    <w:rsid w:val="00DF0B6E"/>
    <w:rsid w:val="00DF0E00"/>
    <w:rsid w:val="00DF2E13"/>
    <w:rsid w:val="00DF4D44"/>
    <w:rsid w:val="00DF7698"/>
    <w:rsid w:val="00E02642"/>
    <w:rsid w:val="00E05AA8"/>
    <w:rsid w:val="00E110A5"/>
    <w:rsid w:val="00E131EF"/>
    <w:rsid w:val="00E1330F"/>
    <w:rsid w:val="00E14681"/>
    <w:rsid w:val="00E14EB2"/>
    <w:rsid w:val="00E151E1"/>
    <w:rsid w:val="00E152C8"/>
    <w:rsid w:val="00E15BF4"/>
    <w:rsid w:val="00E16FCC"/>
    <w:rsid w:val="00E24933"/>
    <w:rsid w:val="00E256E3"/>
    <w:rsid w:val="00E25731"/>
    <w:rsid w:val="00E2575F"/>
    <w:rsid w:val="00E261AF"/>
    <w:rsid w:val="00E26680"/>
    <w:rsid w:val="00E274B0"/>
    <w:rsid w:val="00E27ABA"/>
    <w:rsid w:val="00E30A3C"/>
    <w:rsid w:val="00E31045"/>
    <w:rsid w:val="00E33F93"/>
    <w:rsid w:val="00E40E3D"/>
    <w:rsid w:val="00E42047"/>
    <w:rsid w:val="00E510E0"/>
    <w:rsid w:val="00E52CDA"/>
    <w:rsid w:val="00E535F6"/>
    <w:rsid w:val="00E53674"/>
    <w:rsid w:val="00E55ED4"/>
    <w:rsid w:val="00E56B7D"/>
    <w:rsid w:val="00E628A5"/>
    <w:rsid w:val="00E64223"/>
    <w:rsid w:val="00E70A58"/>
    <w:rsid w:val="00E74793"/>
    <w:rsid w:val="00E82585"/>
    <w:rsid w:val="00E829D6"/>
    <w:rsid w:val="00E82D62"/>
    <w:rsid w:val="00E83BCD"/>
    <w:rsid w:val="00E8462D"/>
    <w:rsid w:val="00E90BB7"/>
    <w:rsid w:val="00E92BDE"/>
    <w:rsid w:val="00E959B6"/>
    <w:rsid w:val="00E95F34"/>
    <w:rsid w:val="00EA28C1"/>
    <w:rsid w:val="00EB00C8"/>
    <w:rsid w:val="00EB0F5B"/>
    <w:rsid w:val="00EB2B5E"/>
    <w:rsid w:val="00EB3B7A"/>
    <w:rsid w:val="00EB43F4"/>
    <w:rsid w:val="00EB4876"/>
    <w:rsid w:val="00EB4949"/>
    <w:rsid w:val="00EB53F2"/>
    <w:rsid w:val="00EB5513"/>
    <w:rsid w:val="00EC089D"/>
    <w:rsid w:val="00EC2535"/>
    <w:rsid w:val="00EC3742"/>
    <w:rsid w:val="00EC48D4"/>
    <w:rsid w:val="00EC65E8"/>
    <w:rsid w:val="00EC7253"/>
    <w:rsid w:val="00EC7ED4"/>
    <w:rsid w:val="00ED0B4B"/>
    <w:rsid w:val="00ED224E"/>
    <w:rsid w:val="00ED4C19"/>
    <w:rsid w:val="00EE2C80"/>
    <w:rsid w:val="00EE43C5"/>
    <w:rsid w:val="00EE4611"/>
    <w:rsid w:val="00EE4922"/>
    <w:rsid w:val="00EE4A31"/>
    <w:rsid w:val="00EE55D1"/>
    <w:rsid w:val="00EE6972"/>
    <w:rsid w:val="00EF3052"/>
    <w:rsid w:val="00EF35B9"/>
    <w:rsid w:val="00EF714F"/>
    <w:rsid w:val="00F02F33"/>
    <w:rsid w:val="00F04B81"/>
    <w:rsid w:val="00F058B0"/>
    <w:rsid w:val="00F05FBB"/>
    <w:rsid w:val="00F06F40"/>
    <w:rsid w:val="00F07354"/>
    <w:rsid w:val="00F13332"/>
    <w:rsid w:val="00F1346F"/>
    <w:rsid w:val="00F139DC"/>
    <w:rsid w:val="00F145FC"/>
    <w:rsid w:val="00F1631D"/>
    <w:rsid w:val="00F22334"/>
    <w:rsid w:val="00F238F0"/>
    <w:rsid w:val="00F23B25"/>
    <w:rsid w:val="00F242A1"/>
    <w:rsid w:val="00F24A7F"/>
    <w:rsid w:val="00F24E35"/>
    <w:rsid w:val="00F25E7A"/>
    <w:rsid w:val="00F3261E"/>
    <w:rsid w:val="00F341C1"/>
    <w:rsid w:val="00F36DA7"/>
    <w:rsid w:val="00F374D8"/>
    <w:rsid w:val="00F46D21"/>
    <w:rsid w:val="00F50265"/>
    <w:rsid w:val="00F523CE"/>
    <w:rsid w:val="00F53A42"/>
    <w:rsid w:val="00F54966"/>
    <w:rsid w:val="00F55523"/>
    <w:rsid w:val="00F56383"/>
    <w:rsid w:val="00F6173C"/>
    <w:rsid w:val="00F62EA7"/>
    <w:rsid w:val="00F66867"/>
    <w:rsid w:val="00F70E42"/>
    <w:rsid w:val="00F74FA3"/>
    <w:rsid w:val="00F765A8"/>
    <w:rsid w:val="00F776F7"/>
    <w:rsid w:val="00F81FEB"/>
    <w:rsid w:val="00F82559"/>
    <w:rsid w:val="00F851D0"/>
    <w:rsid w:val="00F85AF4"/>
    <w:rsid w:val="00F86A27"/>
    <w:rsid w:val="00F878CF"/>
    <w:rsid w:val="00F87BC1"/>
    <w:rsid w:val="00F90B00"/>
    <w:rsid w:val="00F913D2"/>
    <w:rsid w:val="00F91FD2"/>
    <w:rsid w:val="00F92E84"/>
    <w:rsid w:val="00F93EBF"/>
    <w:rsid w:val="00FA2299"/>
    <w:rsid w:val="00FA65C7"/>
    <w:rsid w:val="00FA78F7"/>
    <w:rsid w:val="00FB0EF8"/>
    <w:rsid w:val="00FB1315"/>
    <w:rsid w:val="00FB385B"/>
    <w:rsid w:val="00FB5098"/>
    <w:rsid w:val="00FB61DA"/>
    <w:rsid w:val="00FB7AE5"/>
    <w:rsid w:val="00FC1D0B"/>
    <w:rsid w:val="00FC36CE"/>
    <w:rsid w:val="00FC41F1"/>
    <w:rsid w:val="00FC47E0"/>
    <w:rsid w:val="00FC691E"/>
    <w:rsid w:val="00FC7B0E"/>
    <w:rsid w:val="00FC7F57"/>
    <w:rsid w:val="00FD0350"/>
    <w:rsid w:val="00FD36BE"/>
    <w:rsid w:val="00FD70C3"/>
    <w:rsid w:val="00FE4820"/>
    <w:rsid w:val="00FE4DC4"/>
    <w:rsid w:val="00FE551C"/>
    <w:rsid w:val="00FE7FF8"/>
    <w:rsid w:val="00FF10B5"/>
    <w:rsid w:val="00FF1247"/>
    <w:rsid w:val="00FF1AAA"/>
    <w:rsid w:val="00FF3D1D"/>
    <w:rsid w:val="00FF45BA"/>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7EBC8"/>
  <w15:docId w15:val="{249C0FD8-3A33-4348-9127-4EE3A21C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0921"/>
    <w:pPr>
      <w:jc w:val="both"/>
    </w:pPr>
    <w:rPr>
      <w:rFonts w:ascii="Arial" w:hAnsi="Arial" w:cs="Calibri"/>
      <w:lang w:eastAsia="en-US"/>
    </w:rPr>
  </w:style>
  <w:style w:type="paragraph" w:styleId="Titolo1">
    <w:name w:val="heading 1"/>
    <w:basedOn w:val="Titolo"/>
    <w:next w:val="Normale"/>
    <w:link w:val="Titolo1Carattere"/>
    <w:qFormat/>
    <w:locked/>
    <w:rsid w:val="00860921"/>
    <w:pPr>
      <w:shd w:val="clear" w:color="auto" w:fill="F2F2F2" w:themeFill="background1" w:themeFillShade="F2"/>
      <w:outlineLvl w:val="0"/>
    </w:pPr>
  </w:style>
  <w:style w:type="paragraph" w:styleId="Titolo2">
    <w:name w:val="heading 2"/>
    <w:basedOn w:val="Normale"/>
    <w:next w:val="Normale"/>
    <w:link w:val="Titolo2Carattere"/>
    <w:uiPriority w:val="99"/>
    <w:qFormat/>
    <w:rsid w:val="009646FA"/>
    <w:pPr>
      <w:keepNext/>
      <w:widowControl w:val="0"/>
      <w:adjustRightInd w:val="0"/>
      <w:spacing w:line="240" w:lineRule="atLeast"/>
      <w:textAlignment w:val="baseline"/>
      <w:outlineLvl w:val="1"/>
    </w:pPr>
    <w:rPr>
      <w:rFonts w:ascii="Courier New" w:eastAsia="Times New Roman" w:hAnsi="Courier New" w:cs="Courier New"/>
      <w:b/>
      <w:bCs/>
      <w:sz w:val="20"/>
      <w:szCs w:val="20"/>
      <w:lang w:eastAsia="it-IT"/>
    </w:rPr>
  </w:style>
  <w:style w:type="paragraph" w:styleId="Titolo3">
    <w:name w:val="heading 3"/>
    <w:basedOn w:val="Normale"/>
    <w:next w:val="Normale"/>
    <w:link w:val="Titolo3Carattere"/>
    <w:unhideWhenUsed/>
    <w:qFormat/>
    <w:locked/>
    <w:rsid w:val="00860921"/>
    <w:pPr>
      <w:shd w:val="clear" w:color="auto" w:fill="F2F2F2" w:themeFill="background1" w:themeFillShade="F2"/>
      <w:outlineLvl w:val="2"/>
    </w:pPr>
    <w:rPr>
      <w:b/>
      <w:bCs/>
    </w:rPr>
  </w:style>
  <w:style w:type="paragraph" w:styleId="Titolo4">
    <w:name w:val="heading 4"/>
    <w:basedOn w:val="Normale"/>
    <w:next w:val="Normale"/>
    <w:link w:val="Titolo4Carattere"/>
    <w:unhideWhenUsed/>
    <w:qFormat/>
    <w:locked/>
    <w:rsid w:val="00860921"/>
    <w:pPr>
      <w:outlineLvl w:val="3"/>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rPr>
      <w:rFonts w:eastAsia="Times New Roman"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34"/>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line="470" w:lineRule="exact"/>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line="360" w:lineRule="exact"/>
      <w:ind w:firstLine="365"/>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line="360" w:lineRule="exact"/>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jc w:val="center"/>
    </w:pPr>
    <w:rPr>
      <w:rFonts w:eastAsia="Times New Roman"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jc w:val="center"/>
    </w:pPr>
    <w:rPr>
      <w:rFonts w:eastAsia="Times New Roman" w:cs="Arial"/>
      <w:szCs w:val="24"/>
      <w:lang w:eastAsia="it-IT"/>
    </w:rPr>
  </w:style>
  <w:style w:type="paragraph" w:customStyle="1" w:styleId="TitoloB">
    <w:name w:val="Titolo B"/>
    <w:basedOn w:val="Normale"/>
    <w:uiPriority w:val="99"/>
    <w:rsid w:val="00F242A1"/>
    <w:pPr>
      <w:spacing w:after="120" w:line="360" w:lineRule="auto"/>
      <w:ind w:right="567"/>
    </w:pPr>
    <w:rPr>
      <w:rFonts w:eastAsia="Times New Roman"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860921"/>
    <w:rPr>
      <w:rFonts w:ascii="Arial" w:eastAsiaTheme="majorEastAsia" w:hAnsi="Arial" w:cstheme="majorBidi"/>
      <w:b/>
      <w:spacing w:val="-10"/>
      <w:kern w:val="28"/>
      <w:sz w:val="24"/>
      <w:szCs w:val="56"/>
      <w:u w:val="single"/>
      <w:shd w:val="clear" w:color="auto" w:fill="F2F2F2" w:themeFill="background1" w:themeFillShade="F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422DEC"/>
    <w:pPr>
      <w:spacing w:after="100"/>
      <w:ind w:left="220"/>
    </w:pPr>
  </w:style>
  <w:style w:type="character" w:styleId="Enfasicorsivo">
    <w:name w:val="Emphasis"/>
    <w:basedOn w:val="Carpredefinitoparagrafo"/>
    <w:uiPriority w:val="20"/>
    <w:qFormat/>
    <w:locked/>
    <w:rsid w:val="000202CA"/>
    <w:rPr>
      <w:i/>
      <w:iCs/>
    </w:rPr>
  </w:style>
  <w:style w:type="table" w:styleId="Tabellasemplice-1">
    <w:name w:val="Plain Table 1"/>
    <w:basedOn w:val="Tabellanormale"/>
    <w:uiPriority w:val="41"/>
    <w:rsid w:val="008D46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3">
    <w:name w:val="Plain Table 3"/>
    <w:basedOn w:val="Tabellanormale"/>
    <w:uiPriority w:val="43"/>
    <w:rsid w:val="004F2B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4">
    <w:name w:val="Style4"/>
    <w:basedOn w:val="Normale"/>
    <w:uiPriority w:val="99"/>
    <w:rsid w:val="0097129A"/>
    <w:pPr>
      <w:widowControl w:val="0"/>
      <w:autoSpaceDE w:val="0"/>
      <w:autoSpaceDN w:val="0"/>
      <w:adjustRightInd w:val="0"/>
      <w:spacing w:line="319" w:lineRule="exact"/>
    </w:pPr>
    <w:rPr>
      <w:rFonts w:ascii="Times New Roman" w:eastAsiaTheme="minorEastAsia" w:hAnsi="Times New Roman" w:cs="Times New Roman"/>
      <w:sz w:val="24"/>
      <w:szCs w:val="24"/>
      <w:lang w:eastAsia="it-IT"/>
    </w:rPr>
  </w:style>
  <w:style w:type="character" w:customStyle="1" w:styleId="linkneltesto">
    <w:name w:val="link_nel_testo"/>
    <w:basedOn w:val="Carpredefinitoparagrafo"/>
    <w:rsid w:val="00A55968"/>
  </w:style>
  <w:style w:type="character" w:styleId="Menzionenonrisolta">
    <w:name w:val="Unresolved Mention"/>
    <w:basedOn w:val="Carpredefinitoparagrafo"/>
    <w:uiPriority w:val="99"/>
    <w:semiHidden/>
    <w:unhideWhenUsed/>
    <w:rsid w:val="000D25AD"/>
    <w:rPr>
      <w:color w:val="605E5C"/>
      <w:shd w:val="clear" w:color="auto" w:fill="E1DFDD"/>
    </w:rPr>
  </w:style>
  <w:style w:type="character" w:customStyle="1" w:styleId="markedcontent">
    <w:name w:val="markedcontent"/>
    <w:basedOn w:val="Carpredefinitoparagrafo"/>
    <w:rsid w:val="007578C5"/>
  </w:style>
  <w:style w:type="table" w:styleId="Tabellasemplice4">
    <w:name w:val="Plain Table 4"/>
    <w:basedOn w:val="Tabellanormale"/>
    <w:uiPriority w:val="44"/>
    <w:rsid w:val="006B08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olo">
    <w:name w:val="Title"/>
    <w:basedOn w:val="Normale"/>
    <w:next w:val="Normale"/>
    <w:link w:val="TitoloCarattere"/>
    <w:locked/>
    <w:rsid w:val="00860921"/>
    <w:pPr>
      <w:contextualSpacing/>
    </w:pPr>
    <w:rPr>
      <w:rFonts w:eastAsiaTheme="majorEastAsia" w:cstheme="majorBidi"/>
      <w:b/>
      <w:spacing w:val="-10"/>
      <w:kern w:val="28"/>
      <w:sz w:val="24"/>
      <w:szCs w:val="56"/>
      <w:u w:val="single"/>
    </w:rPr>
  </w:style>
  <w:style w:type="character" w:customStyle="1" w:styleId="TitoloCarattere">
    <w:name w:val="Titolo Carattere"/>
    <w:basedOn w:val="Carpredefinitoparagrafo"/>
    <w:link w:val="Titolo"/>
    <w:rsid w:val="00860921"/>
    <w:rPr>
      <w:rFonts w:ascii="Arial" w:eastAsiaTheme="majorEastAsia" w:hAnsi="Arial" w:cstheme="majorBidi"/>
      <w:b/>
      <w:spacing w:val="-10"/>
      <w:kern w:val="28"/>
      <w:sz w:val="24"/>
      <w:szCs w:val="56"/>
      <w:u w:val="single"/>
      <w:lang w:eastAsia="en-US"/>
    </w:rPr>
  </w:style>
  <w:style w:type="character" w:customStyle="1" w:styleId="Titolo3Carattere">
    <w:name w:val="Titolo 3 Carattere"/>
    <w:basedOn w:val="Carpredefinitoparagrafo"/>
    <w:link w:val="Titolo3"/>
    <w:rsid w:val="00860921"/>
    <w:rPr>
      <w:rFonts w:ascii="Arial" w:hAnsi="Arial" w:cs="Calibri"/>
      <w:b/>
      <w:bCs/>
      <w:shd w:val="clear" w:color="auto" w:fill="F2F2F2" w:themeFill="background1" w:themeFillShade="F2"/>
      <w:lang w:eastAsia="en-US"/>
    </w:rPr>
  </w:style>
  <w:style w:type="character" w:customStyle="1" w:styleId="Titolo4Carattere">
    <w:name w:val="Titolo 4 Carattere"/>
    <w:basedOn w:val="Carpredefinitoparagrafo"/>
    <w:link w:val="Titolo4"/>
    <w:rsid w:val="00860921"/>
    <w:rPr>
      <w:rFonts w:ascii="Arial" w:hAnsi="Arial" w:cs="Calibri"/>
      <w:b/>
      <w:bCs/>
      <w:lang w:eastAsia="en-US"/>
    </w:rPr>
  </w:style>
  <w:style w:type="character" w:styleId="Collegamentovisitato">
    <w:name w:val="FollowedHyperlink"/>
    <w:basedOn w:val="Carpredefinitoparagrafo"/>
    <w:uiPriority w:val="99"/>
    <w:semiHidden/>
    <w:unhideWhenUsed/>
    <w:rsid w:val="00C21C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4253">
      <w:bodyDiv w:val="1"/>
      <w:marLeft w:val="0"/>
      <w:marRight w:val="0"/>
      <w:marTop w:val="0"/>
      <w:marBottom w:val="0"/>
      <w:divBdr>
        <w:top w:val="none" w:sz="0" w:space="0" w:color="auto"/>
        <w:left w:val="none" w:sz="0" w:space="0" w:color="auto"/>
        <w:bottom w:val="none" w:sz="0" w:space="0" w:color="auto"/>
        <w:right w:val="none" w:sz="0" w:space="0" w:color="auto"/>
      </w:divBdr>
    </w:div>
    <w:div w:id="160511604">
      <w:bodyDiv w:val="1"/>
      <w:marLeft w:val="0"/>
      <w:marRight w:val="0"/>
      <w:marTop w:val="0"/>
      <w:marBottom w:val="0"/>
      <w:divBdr>
        <w:top w:val="none" w:sz="0" w:space="0" w:color="auto"/>
        <w:left w:val="none" w:sz="0" w:space="0" w:color="auto"/>
        <w:bottom w:val="none" w:sz="0" w:space="0" w:color="auto"/>
        <w:right w:val="none" w:sz="0" w:space="0" w:color="auto"/>
      </w:divBdr>
    </w:div>
    <w:div w:id="628820939">
      <w:bodyDiv w:val="1"/>
      <w:marLeft w:val="0"/>
      <w:marRight w:val="0"/>
      <w:marTop w:val="0"/>
      <w:marBottom w:val="0"/>
      <w:divBdr>
        <w:top w:val="none" w:sz="0" w:space="0" w:color="auto"/>
        <w:left w:val="none" w:sz="0" w:space="0" w:color="auto"/>
        <w:bottom w:val="none" w:sz="0" w:space="0" w:color="auto"/>
        <w:right w:val="none" w:sz="0" w:space="0" w:color="auto"/>
      </w:divBdr>
    </w:div>
    <w:div w:id="830289034">
      <w:marLeft w:val="0"/>
      <w:marRight w:val="0"/>
      <w:marTop w:val="0"/>
      <w:marBottom w:val="0"/>
      <w:divBdr>
        <w:top w:val="none" w:sz="0" w:space="0" w:color="auto"/>
        <w:left w:val="none" w:sz="0" w:space="0" w:color="auto"/>
        <w:bottom w:val="none" w:sz="0" w:space="0" w:color="auto"/>
        <w:right w:val="none" w:sz="0" w:space="0" w:color="auto"/>
      </w:divBdr>
      <w:divsChild>
        <w:div w:id="830289036">
          <w:marLeft w:val="0"/>
          <w:marRight w:val="0"/>
          <w:marTop w:val="0"/>
          <w:marBottom w:val="0"/>
          <w:divBdr>
            <w:top w:val="none" w:sz="0" w:space="0" w:color="auto"/>
            <w:left w:val="none" w:sz="0" w:space="0" w:color="auto"/>
            <w:bottom w:val="none" w:sz="0" w:space="0" w:color="auto"/>
            <w:right w:val="none" w:sz="0" w:space="0" w:color="auto"/>
          </w:divBdr>
          <w:divsChild>
            <w:div w:id="830289033">
              <w:marLeft w:val="0"/>
              <w:marRight w:val="0"/>
              <w:marTop w:val="0"/>
              <w:marBottom w:val="0"/>
              <w:divBdr>
                <w:top w:val="none" w:sz="0" w:space="0" w:color="auto"/>
                <w:left w:val="none" w:sz="0" w:space="0" w:color="auto"/>
                <w:bottom w:val="none" w:sz="0" w:space="0" w:color="auto"/>
                <w:right w:val="none" w:sz="0" w:space="0" w:color="auto"/>
              </w:divBdr>
              <w:divsChild>
                <w:div w:id="830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7328">
      <w:bodyDiv w:val="1"/>
      <w:marLeft w:val="0"/>
      <w:marRight w:val="0"/>
      <w:marTop w:val="0"/>
      <w:marBottom w:val="0"/>
      <w:divBdr>
        <w:top w:val="none" w:sz="0" w:space="0" w:color="auto"/>
        <w:left w:val="none" w:sz="0" w:space="0" w:color="auto"/>
        <w:bottom w:val="none" w:sz="0" w:space="0" w:color="auto"/>
        <w:right w:val="none" w:sz="0" w:space="0" w:color="auto"/>
      </w:divBdr>
    </w:div>
    <w:div w:id="146296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ato.it/static/bgt/UltimiAtti/pergiorno/20240124.html?from=20240124&amp;to=20240124" TargetMode="External"/><Relationship Id="rId13" Type="http://schemas.openxmlformats.org/officeDocument/2006/relationships/hyperlink" Target="https://comunedigenivolta.whistleblowing.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ac-c1.board.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trasparenzai.anticorruzio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nac-c1.board.com/" TargetMode="External"/><Relationship Id="rId14" Type="http://schemas.openxmlformats.org/officeDocument/2006/relationships/hyperlink" Target="https://servizi.anticorruzione.it/segnalazi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769D7-C93B-4775-95A9-D865E710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11355</Words>
  <Characters>64726</Characters>
  <Application>Microsoft Office Word</Application>
  <DocSecurity>0</DocSecurity>
  <Lines>539</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Segretario - Comune di Genivolta</cp:lastModifiedBy>
  <cp:revision>53</cp:revision>
  <cp:lastPrinted>2025-12-03T05:30:00Z</cp:lastPrinted>
  <dcterms:created xsi:type="dcterms:W3CDTF">2013-10-22T13:57:00Z</dcterms:created>
  <dcterms:modified xsi:type="dcterms:W3CDTF">2025-12-23T11:34:00Z</dcterms:modified>
</cp:coreProperties>
</file>